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B065" w14:textId="77777777" w:rsidR="005E7CE2" w:rsidRPr="005E7CE2" w:rsidRDefault="0069613F" w:rsidP="005E7CE2">
      <w:pPr>
        <w:rPr>
          <w:b/>
        </w:rPr>
      </w:pPr>
      <w:r w:rsidRPr="005E7CE2">
        <w:rPr>
          <w:b/>
        </w:rPr>
        <w:t>Lancashire Renewables Limited – Company Number:  05881147</w:t>
      </w:r>
    </w:p>
    <w:p w14:paraId="5DC8C677" w14:textId="77777777" w:rsidR="005E7CE2" w:rsidRPr="005E7CE2" w:rsidRDefault="005E7CE2" w:rsidP="005E7CE2">
      <w:pPr>
        <w:rPr>
          <w:b/>
        </w:rPr>
      </w:pPr>
    </w:p>
    <w:p w14:paraId="7A72B0C6" w14:textId="7C2F24E3" w:rsidR="005E7CE2" w:rsidRPr="005E7CE2" w:rsidRDefault="0069613F" w:rsidP="005E7CE2">
      <w:pPr>
        <w:jc w:val="both"/>
        <w:rPr>
          <w:b/>
        </w:rPr>
      </w:pPr>
      <w:r w:rsidRPr="005E7CE2">
        <w:rPr>
          <w:b/>
        </w:rPr>
        <w:t xml:space="preserve">Overview: </w:t>
      </w:r>
      <w:r w:rsidRPr="005E7CE2">
        <w:rPr>
          <w:bCs/>
        </w:rPr>
        <w:t>Lancashire Renewables Limited (formally Global Renewables Lancashire Operations Limited) was established for the operation and management of the county council</w:t>
      </w:r>
      <w:r w:rsidR="00686F1D">
        <w:rPr>
          <w:bCs/>
        </w:rPr>
        <w:t>'</w:t>
      </w:r>
      <w:r w:rsidRPr="005E7CE2">
        <w:rPr>
          <w:bCs/>
        </w:rPr>
        <w:t xml:space="preserve">s two </w:t>
      </w:r>
      <w:r w:rsidR="00686F1D">
        <w:rPr>
          <w:bCs/>
        </w:rPr>
        <w:t>w</w:t>
      </w:r>
      <w:r w:rsidRPr="005E7CE2">
        <w:rPr>
          <w:bCs/>
        </w:rPr>
        <w:t xml:space="preserve">aste </w:t>
      </w:r>
      <w:r w:rsidR="00686F1D">
        <w:rPr>
          <w:bCs/>
        </w:rPr>
        <w:t>r</w:t>
      </w:r>
      <w:r w:rsidRPr="005E7CE2">
        <w:rPr>
          <w:bCs/>
        </w:rPr>
        <w:t xml:space="preserve">ecovery </w:t>
      </w:r>
      <w:r w:rsidR="00686F1D">
        <w:rPr>
          <w:bCs/>
        </w:rPr>
        <w:t>p</w:t>
      </w:r>
      <w:r w:rsidRPr="005E7CE2">
        <w:rPr>
          <w:bCs/>
        </w:rPr>
        <w:t>arks (Thornton and Farington) built for the Lancashire Waste Contract. The company’s key objectives are to receive, treat and transport contract waste in accordance with the targets and service requirements set out in its Service Level Agreement made between the Company and Lancashire County Council.</w:t>
      </w:r>
    </w:p>
    <w:p w14:paraId="1CF48B33" w14:textId="77777777" w:rsidR="005E7CE2" w:rsidRPr="005E7CE2" w:rsidRDefault="005E7CE2" w:rsidP="005E7CE2">
      <w:pPr>
        <w:rPr>
          <w:b/>
        </w:rPr>
      </w:pPr>
    </w:p>
    <w:p w14:paraId="6C8CF353" w14:textId="1A7ACD04" w:rsidR="005E7CE2" w:rsidRPr="005E7CE2" w:rsidRDefault="0069613F" w:rsidP="005E7CE2">
      <w:pPr>
        <w:rPr>
          <w:rFonts w:cs="Calibri"/>
          <w:b/>
          <w:szCs w:val="24"/>
        </w:rPr>
      </w:pPr>
      <w:r w:rsidRPr="005E7CE2">
        <w:rPr>
          <w:rFonts w:cs="Calibri"/>
          <w:b/>
          <w:szCs w:val="24"/>
        </w:rPr>
        <w:t>Operational Performance</w:t>
      </w:r>
      <w:r w:rsidR="0060580C">
        <w:rPr>
          <w:rFonts w:cs="Calibri"/>
          <w:b/>
          <w:szCs w:val="24"/>
        </w:rPr>
        <w:t xml:space="preserve"> 2022/23</w:t>
      </w:r>
    </w:p>
    <w:p w14:paraId="765FA226" w14:textId="77777777" w:rsidR="005E7CE2" w:rsidRPr="005E7CE2" w:rsidRDefault="005E7CE2" w:rsidP="005E7CE2">
      <w:pPr>
        <w:rPr>
          <w:rFonts w:cs="Calibri"/>
          <w:b/>
        </w:rPr>
      </w:pPr>
    </w:p>
    <w:p w14:paraId="4DDC7454" w14:textId="77777777" w:rsidR="005E7CE2" w:rsidRDefault="0069613F" w:rsidP="005E7CE2">
      <w:pPr>
        <w:rPr>
          <w:rFonts w:cs="Calibri"/>
          <w:b/>
        </w:rPr>
      </w:pPr>
      <w:r w:rsidRPr="005E7CE2">
        <w:rPr>
          <w:rFonts w:cs="Calibri"/>
          <w:b/>
        </w:rPr>
        <w:t>Waste Recovery Park Performance (Thornton and Farington)</w:t>
      </w:r>
    </w:p>
    <w:p w14:paraId="1D258766" w14:textId="77777777" w:rsidR="008756B9" w:rsidRPr="005E7CE2" w:rsidRDefault="008756B9" w:rsidP="005E7CE2">
      <w:pPr>
        <w:rPr>
          <w:rFonts w:cs="Calibri"/>
          <w:b/>
        </w:rPr>
      </w:pPr>
    </w:p>
    <w:p w14:paraId="1D67A358" w14:textId="0EB13CB0" w:rsidR="005E7CE2" w:rsidRPr="005E7CE2" w:rsidRDefault="0069613F" w:rsidP="005E7CE2">
      <w:pPr>
        <w:jc w:val="both"/>
        <w:rPr>
          <w:rFonts w:cs="Calibri"/>
        </w:rPr>
      </w:pPr>
      <w:r w:rsidRPr="005E7CE2">
        <w:rPr>
          <w:rFonts w:cs="Calibri"/>
        </w:rPr>
        <w:t xml:space="preserve">Waste management, treatment and recyclate recovery performance at the two waste recovery parks </w:t>
      </w:r>
      <w:r w:rsidR="005E3EB0">
        <w:rPr>
          <w:rFonts w:cs="Calibri"/>
        </w:rPr>
        <w:t>during the contract year had proved challenging</w:t>
      </w:r>
      <w:r w:rsidR="00B75266">
        <w:rPr>
          <w:rFonts w:cs="Calibri"/>
        </w:rPr>
        <w:t xml:space="preserve"> at times</w:t>
      </w:r>
      <w:r w:rsidR="005E3EB0">
        <w:rPr>
          <w:rFonts w:cs="Calibri"/>
        </w:rPr>
        <w:t xml:space="preserve"> due to staff </w:t>
      </w:r>
      <w:r w:rsidR="00B75266">
        <w:rPr>
          <w:rFonts w:cs="Calibri"/>
        </w:rPr>
        <w:t>retention, long term absence</w:t>
      </w:r>
      <w:r w:rsidR="005E3EB0">
        <w:rPr>
          <w:rFonts w:cs="Calibri"/>
        </w:rPr>
        <w:t xml:space="preserve"> and several unplanned maintenance events that  impacted operational performance</w:t>
      </w:r>
      <w:r w:rsidR="00B75266">
        <w:rPr>
          <w:rFonts w:cs="Calibri"/>
        </w:rPr>
        <w:t xml:space="preserve"> throughout the year</w:t>
      </w:r>
      <w:r w:rsidR="005E3EB0">
        <w:rPr>
          <w:rFonts w:cs="Calibri"/>
        </w:rPr>
        <w:t>. The biological drying process</w:t>
      </w:r>
      <w:r w:rsidR="00B75266">
        <w:rPr>
          <w:rFonts w:cs="Calibri"/>
        </w:rPr>
        <w:t xml:space="preserve"> (mass loss process)</w:t>
      </w:r>
      <w:r w:rsidR="005E3EB0">
        <w:rPr>
          <w:rFonts w:cs="Calibri"/>
        </w:rPr>
        <w:t xml:space="preserve"> at the Thornton Waste Recovery Park had </w:t>
      </w:r>
      <w:r w:rsidR="00B75266">
        <w:rPr>
          <w:rFonts w:cs="Calibri"/>
        </w:rPr>
        <w:t>underperformed</w:t>
      </w:r>
      <w:r w:rsidR="005E3EB0">
        <w:rPr>
          <w:rFonts w:cs="Calibri"/>
        </w:rPr>
        <w:t xml:space="preserve"> and despite</w:t>
      </w:r>
      <w:r w:rsidR="00B75266">
        <w:rPr>
          <w:rFonts w:cs="Calibri"/>
        </w:rPr>
        <w:t xml:space="preserve"> a programme of maintenance works and a series of </w:t>
      </w:r>
      <w:r w:rsidR="005E3EB0">
        <w:rPr>
          <w:rFonts w:cs="Calibri"/>
        </w:rPr>
        <w:t>operational adjustments</w:t>
      </w:r>
      <w:r w:rsidR="00B75266">
        <w:rPr>
          <w:rFonts w:cs="Calibri"/>
        </w:rPr>
        <w:t xml:space="preserve"> therefore</w:t>
      </w:r>
      <w:r w:rsidR="005E3EB0">
        <w:rPr>
          <w:rFonts w:cs="Calibri"/>
        </w:rPr>
        <w:t xml:space="preserve"> it is </w:t>
      </w:r>
      <w:r w:rsidR="00B75266">
        <w:rPr>
          <w:rFonts w:cs="Calibri"/>
        </w:rPr>
        <w:t xml:space="preserve">now </w:t>
      </w:r>
      <w:r w:rsidR="005E3EB0">
        <w:rPr>
          <w:rFonts w:cs="Calibri"/>
        </w:rPr>
        <w:t xml:space="preserve">necessary to undertake extensive lifecycle maintenance of the </w:t>
      </w:r>
      <w:r w:rsidR="00B75266">
        <w:rPr>
          <w:rFonts w:cs="Calibri"/>
        </w:rPr>
        <w:t xml:space="preserve">biological drying </w:t>
      </w:r>
      <w:r w:rsidR="005E3EB0">
        <w:rPr>
          <w:rFonts w:cs="Calibri"/>
        </w:rPr>
        <w:t>reactor</w:t>
      </w:r>
      <w:r w:rsidR="00B75266">
        <w:rPr>
          <w:rFonts w:cs="Calibri"/>
        </w:rPr>
        <w:t xml:space="preserve">, </w:t>
      </w:r>
      <w:r w:rsidR="005E3EB0">
        <w:rPr>
          <w:rFonts w:cs="Calibri"/>
        </w:rPr>
        <w:t>which is scheduled to be concluded within quarter one of the new contract year (year 23 – 24).</w:t>
      </w:r>
      <w:r w:rsidR="00B75266">
        <w:rPr>
          <w:rFonts w:cs="Calibri"/>
        </w:rPr>
        <w:t xml:space="preserve"> S</w:t>
      </w:r>
      <w:r w:rsidRPr="005E7CE2">
        <w:rPr>
          <w:rFonts w:cs="Calibri"/>
        </w:rPr>
        <w:t>everal staffing challenges</w:t>
      </w:r>
      <w:r w:rsidR="005C2DC2">
        <w:rPr>
          <w:rFonts w:cs="Calibri"/>
        </w:rPr>
        <w:t xml:space="preserve"> throughout the reporting period</w:t>
      </w:r>
      <w:r w:rsidRPr="005E7CE2">
        <w:rPr>
          <w:rFonts w:cs="Calibri"/>
        </w:rPr>
        <w:t xml:space="preserve"> </w:t>
      </w:r>
      <w:r w:rsidR="00B75266">
        <w:rPr>
          <w:rFonts w:cs="Calibri"/>
        </w:rPr>
        <w:t xml:space="preserve">had </w:t>
      </w:r>
      <w:r w:rsidR="005C2DC2">
        <w:rPr>
          <w:rFonts w:cs="Calibri"/>
        </w:rPr>
        <w:t xml:space="preserve">also </w:t>
      </w:r>
      <w:r w:rsidRPr="005E7CE2">
        <w:rPr>
          <w:rFonts w:cs="Calibri"/>
        </w:rPr>
        <w:t>add</w:t>
      </w:r>
      <w:r w:rsidR="00B75266">
        <w:rPr>
          <w:rFonts w:cs="Calibri"/>
        </w:rPr>
        <w:t>ed</w:t>
      </w:r>
      <w:r w:rsidRPr="005E7CE2">
        <w:rPr>
          <w:rFonts w:cs="Calibri"/>
        </w:rPr>
        <w:t xml:space="preserve"> pressure </w:t>
      </w:r>
      <w:r w:rsidR="005C2DC2">
        <w:rPr>
          <w:rFonts w:cs="Calibri"/>
        </w:rPr>
        <w:t>in the deliver</w:t>
      </w:r>
      <w:r>
        <w:rPr>
          <w:rFonts w:cs="Calibri"/>
        </w:rPr>
        <w:t>y</w:t>
      </w:r>
      <w:r w:rsidR="005C2DC2">
        <w:rPr>
          <w:rFonts w:cs="Calibri"/>
        </w:rPr>
        <w:t xml:space="preserve"> of</w:t>
      </w:r>
      <w:r w:rsidRPr="005E7CE2">
        <w:rPr>
          <w:rFonts w:cs="Calibri"/>
        </w:rPr>
        <w:t xml:space="preserve"> operational activities.</w:t>
      </w:r>
    </w:p>
    <w:p w14:paraId="2BF21EDE" w14:textId="77777777" w:rsidR="005E7CE2" w:rsidRPr="005E7CE2" w:rsidRDefault="005E7CE2" w:rsidP="005E7CE2">
      <w:pPr>
        <w:jc w:val="both"/>
        <w:rPr>
          <w:rFonts w:cs="Calibri"/>
        </w:rPr>
      </w:pPr>
    </w:p>
    <w:p w14:paraId="0296F176" w14:textId="6A852D72" w:rsidR="005E7CE2" w:rsidRPr="005E7CE2" w:rsidRDefault="0069613F" w:rsidP="005E7CE2">
      <w:pPr>
        <w:jc w:val="both"/>
        <w:rPr>
          <w:rFonts w:cs="Calibri"/>
        </w:rPr>
      </w:pPr>
      <w:r w:rsidRPr="005E7CE2">
        <w:rPr>
          <w:rFonts w:cs="Calibri"/>
        </w:rPr>
        <w:t>Operational performance against processing targets</w:t>
      </w:r>
      <w:r w:rsidR="005E3EB0">
        <w:rPr>
          <w:rFonts w:cs="Calibri"/>
        </w:rPr>
        <w:t xml:space="preserve"> across the two waste treatment facilities  ranged between exceeding target in one processing area, to falling short </w:t>
      </w:r>
      <w:r w:rsidR="005C2DC2">
        <w:rPr>
          <w:rFonts w:cs="Calibri"/>
        </w:rPr>
        <w:t xml:space="preserve">of meeting the targets </w:t>
      </w:r>
      <w:r w:rsidR="005E3EB0">
        <w:rPr>
          <w:rFonts w:cs="Calibri"/>
        </w:rPr>
        <w:t xml:space="preserve">in two other areas. </w:t>
      </w:r>
      <w:r w:rsidR="005C2DC2">
        <w:rPr>
          <w:rFonts w:cs="Calibri"/>
        </w:rPr>
        <w:t>Areas of underperformance</w:t>
      </w:r>
      <w:r w:rsidR="005E3EB0">
        <w:rPr>
          <w:rFonts w:cs="Calibri"/>
        </w:rPr>
        <w:t xml:space="preserve"> ranged from five to fifteen</w:t>
      </w:r>
      <w:r w:rsidR="005C2DC2">
        <w:rPr>
          <w:rFonts w:cs="Calibri"/>
        </w:rPr>
        <w:t xml:space="preserve"> </w:t>
      </w:r>
      <w:r w:rsidRPr="005E7CE2">
        <w:rPr>
          <w:rFonts w:cs="Calibri"/>
        </w:rPr>
        <w:t>percent for the contract year.</w:t>
      </w:r>
    </w:p>
    <w:p w14:paraId="73B9E1EE" w14:textId="77777777" w:rsidR="005E7CE2" w:rsidRPr="005E7CE2" w:rsidRDefault="005E7CE2" w:rsidP="005E7CE2">
      <w:pPr>
        <w:rPr>
          <w:rFonts w:cs="Calibri"/>
          <w:b/>
          <w:bCs/>
        </w:rPr>
      </w:pPr>
    </w:p>
    <w:p w14:paraId="3D1D4BCB" w14:textId="77777777" w:rsidR="005E7CE2" w:rsidRPr="005E7CE2" w:rsidRDefault="0069613F" w:rsidP="005E7CE2">
      <w:pPr>
        <w:rPr>
          <w:rFonts w:cs="Calibri"/>
          <w:b/>
          <w:bCs/>
        </w:rPr>
      </w:pPr>
      <w:r w:rsidRPr="005E7CE2">
        <w:rPr>
          <w:rFonts w:cs="Calibri"/>
          <w:b/>
          <w:bCs/>
        </w:rPr>
        <w:t>Waste Haulage Transport Service Performance</w:t>
      </w:r>
    </w:p>
    <w:p w14:paraId="27F17D8B" w14:textId="77777777" w:rsidR="005E7CE2" w:rsidRPr="005E7CE2" w:rsidRDefault="005E7CE2" w:rsidP="005E7CE2">
      <w:pPr>
        <w:rPr>
          <w:rFonts w:cs="Arial"/>
          <w:szCs w:val="24"/>
        </w:rPr>
      </w:pPr>
    </w:p>
    <w:p w14:paraId="766A0C51" w14:textId="122D56F1" w:rsidR="005E7CE2" w:rsidRDefault="0069613F" w:rsidP="005E7CE2">
      <w:pPr>
        <w:jc w:val="both"/>
        <w:rPr>
          <w:rFonts w:cs="Arial"/>
          <w:szCs w:val="24"/>
        </w:rPr>
      </w:pPr>
      <w:r w:rsidRPr="005E7CE2">
        <w:rPr>
          <w:rFonts w:cs="Arial"/>
          <w:szCs w:val="24"/>
        </w:rPr>
        <w:t>The waste company’s transport services (heavy goods vehicles)  continued to operate in an efficient manner throughout the contract year, and despite several challenges presented due staff</w:t>
      </w:r>
      <w:r w:rsidR="00F469D5">
        <w:rPr>
          <w:rFonts w:cs="Arial"/>
          <w:szCs w:val="24"/>
        </w:rPr>
        <w:t xml:space="preserve"> retention</w:t>
      </w:r>
      <w:r w:rsidR="000C1AFA">
        <w:rPr>
          <w:rFonts w:cs="Arial"/>
          <w:szCs w:val="24"/>
        </w:rPr>
        <w:t xml:space="preserve"> (LGV Drivers) which </w:t>
      </w:r>
      <w:r w:rsidR="00F469D5">
        <w:rPr>
          <w:rFonts w:cs="Arial"/>
          <w:szCs w:val="24"/>
        </w:rPr>
        <w:t>had been driven by external influences as a result of the</w:t>
      </w:r>
      <w:r w:rsidRPr="005E7CE2">
        <w:rPr>
          <w:rFonts w:cs="Arial"/>
          <w:szCs w:val="24"/>
        </w:rPr>
        <w:t xml:space="preserve"> </w:t>
      </w:r>
      <w:r w:rsidRPr="005E7CE2">
        <w:rPr>
          <w:rFonts w:cs="Calibri"/>
        </w:rPr>
        <w:t>UK heavy goods vehicle driver shortage situation</w:t>
      </w:r>
      <w:r w:rsidRPr="005E7CE2">
        <w:rPr>
          <w:rFonts w:cs="Arial"/>
          <w:szCs w:val="24"/>
        </w:rPr>
        <w:t>.</w:t>
      </w:r>
    </w:p>
    <w:p w14:paraId="62C5B2AE" w14:textId="77777777" w:rsidR="000C1AFA" w:rsidRPr="005E7CE2" w:rsidRDefault="000C1AFA" w:rsidP="005E7CE2">
      <w:pPr>
        <w:jc w:val="both"/>
        <w:rPr>
          <w:rFonts w:cs="Arial"/>
          <w:szCs w:val="24"/>
        </w:rPr>
      </w:pPr>
    </w:p>
    <w:p w14:paraId="5D6782EC" w14:textId="2522577B" w:rsidR="005E7CE2" w:rsidRPr="005E7CE2" w:rsidRDefault="0069613F" w:rsidP="005E7CE2">
      <w:pPr>
        <w:jc w:val="both"/>
        <w:rPr>
          <w:rFonts w:cs="Calibri"/>
        </w:rPr>
      </w:pPr>
      <w:r>
        <w:rPr>
          <w:rFonts w:cs="Arial"/>
          <w:szCs w:val="24"/>
        </w:rPr>
        <w:t>More than</w:t>
      </w:r>
      <w:r w:rsidR="00A40F98" w:rsidRPr="005E7CE2">
        <w:rPr>
          <w:rFonts w:cs="Arial"/>
          <w:szCs w:val="24"/>
        </w:rPr>
        <w:t xml:space="preserve"> 400,000 tonnes of municipal waste </w:t>
      </w:r>
      <w:r>
        <w:rPr>
          <w:rFonts w:cs="Arial"/>
          <w:szCs w:val="24"/>
        </w:rPr>
        <w:t xml:space="preserve">continued to </w:t>
      </w:r>
      <w:r w:rsidR="000C1AFA">
        <w:rPr>
          <w:rFonts w:cs="Arial"/>
          <w:szCs w:val="24"/>
        </w:rPr>
        <w:t xml:space="preserve">be </w:t>
      </w:r>
      <w:r w:rsidR="000C1AFA" w:rsidRPr="005E7CE2">
        <w:rPr>
          <w:rFonts w:cs="Arial"/>
          <w:szCs w:val="24"/>
        </w:rPr>
        <w:t>transported</w:t>
      </w:r>
      <w:r w:rsidR="00A40F98" w:rsidRPr="005E7CE2">
        <w:rPr>
          <w:rFonts w:cs="Arial"/>
          <w:szCs w:val="24"/>
        </w:rPr>
        <w:t xml:space="preserve"> within the Lancashire network via the company’s waste haulage fleet </w:t>
      </w:r>
      <w:r w:rsidR="00A40F98" w:rsidRPr="005E7CE2">
        <w:rPr>
          <w:rFonts w:cs="Calibri"/>
        </w:rPr>
        <w:t>for the contract year</w:t>
      </w:r>
      <w:r w:rsidR="000C1AFA">
        <w:rPr>
          <w:rFonts w:cs="Calibri"/>
        </w:rPr>
        <w:t>, and the deployment of risk mitigation measures due to staffing issues proved effective</w:t>
      </w:r>
      <w:r w:rsidR="00A40F98" w:rsidRPr="005E7CE2">
        <w:rPr>
          <w:rFonts w:cs="Calibri"/>
        </w:rPr>
        <w:t>.</w:t>
      </w:r>
    </w:p>
    <w:p w14:paraId="67168F8B" w14:textId="77777777" w:rsidR="005E7CE2" w:rsidRPr="005E7CE2" w:rsidRDefault="005E7CE2" w:rsidP="005E7CE2">
      <w:pPr>
        <w:jc w:val="both"/>
        <w:rPr>
          <w:rFonts w:cs="Calibri"/>
          <w:b/>
          <w:bCs/>
        </w:rPr>
      </w:pPr>
    </w:p>
    <w:p w14:paraId="678DB257" w14:textId="77777777" w:rsidR="005E7CE2" w:rsidRPr="005E7CE2" w:rsidRDefault="0069613F" w:rsidP="005E7CE2">
      <w:pPr>
        <w:jc w:val="both"/>
        <w:rPr>
          <w:rFonts w:cs="Calibri"/>
          <w:b/>
          <w:bCs/>
        </w:rPr>
      </w:pPr>
      <w:r w:rsidRPr="005E7CE2">
        <w:rPr>
          <w:rFonts w:cs="Calibri"/>
          <w:b/>
          <w:bCs/>
        </w:rPr>
        <w:t>Financial Performance</w:t>
      </w:r>
    </w:p>
    <w:p w14:paraId="41FFB48F" w14:textId="77777777" w:rsidR="005E7CE2" w:rsidRPr="005E7CE2" w:rsidRDefault="005E7CE2" w:rsidP="005E7CE2">
      <w:pPr>
        <w:autoSpaceDE w:val="0"/>
        <w:autoSpaceDN w:val="0"/>
        <w:jc w:val="both"/>
        <w:rPr>
          <w:rFonts w:cs="Calibri"/>
        </w:rPr>
      </w:pPr>
    </w:p>
    <w:p w14:paraId="09BE9C95" w14:textId="51E85512" w:rsidR="005E7CE2" w:rsidRPr="005E7CE2" w:rsidRDefault="0069613F" w:rsidP="005E7CE2">
      <w:pPr>
        <w:autoSpaceDE w:val="0"/>
        <w:autoSpaceDN w:val="0"/>
        <w:jc w:val="both"/>
        <w:rPr>
          <w:rFonts w:cs="Calibri"/>
        </w:rPr>
      </w:pPr>
      <w:r w:rsidRPr="005E7CE2">
        <w:rPr>
          <w:rFonts w:cs="Calibri"/>
        </w:rPr>
        <w:t xml:space="preserve">The company's direct financial operating cost performance throughout the year </w:t>
      </w:r>
      <w:r>
        <w:rPr>
          <w:rFonts w:cs="Calibri"/>
        </w:rPr>
        <w:t>was</w:t>
      </w:r>
      <w:r w:rsidR="00F469D5">
        <w:rPr>
          <w:rFonts w:cs="Calibri"/>
        </w:rPr>
        <w:t xml:space="preserve"> impacted </w:t>
      </w:r>
      <w:r w:rsidR="00E558F5">
        <w:rPr>
          <w:rFonts w:cs="Calibri"/>
        </w:rPr>
        <w:t>by external influences and at the time of the report</w:t>
      </w:r>
      <w:r w:rsidR="000C1AFA">
        <w:rPr>
          <w:rFonts w:cs="Calibri"/>
        </w:rPr>
        <w:t>, an</w:t>
      </w:r>
      <w:r w:rsidR="00E558F5">
        <w:rPr>
          <w:rFonts w:cs="Calibri"/>
        </w:rPr>
        <w:t xml:space="preserve"> outturn forecast of £450,000 worse than budget was </w:t>
      </w:r>
      <w:r w:rsidR="00957FF8">
        <w:rPr>
          <w:rFonts w:cs="Calibri"/>
        </w:rPr>
        <w:t>anticipated,</w:t>
      </w:r>
      <w:r w:rsidRPr="005E7CE2">
        <w:rPr>
          <w:rFonts w:cs="Calibri"/>
        </w:rPr>
        <w:t xml:space="preserve"> </w:t>
      </w:r>
      <w:r w:rsidRPr="005E7CE2">
        <w:rPr>
          <w:rFonts w:cs="Arial"/>
        </w:rPr>
        <w:t>subject to year-end reconciliation and statutory audit processes</w:t>
      </w:r>
      <w:r w:rsidRPr="005E7CE2">
        <w:rPr>
          <w:rFonts w:cs="Calibri"/>
        </w:rPr>
        <w:t>.</w:t>
      </w:r>
      <w:r w:rsidR="00E558F5">
        <w:rPr>
          <w:rFonts w:cs="Calibri"/>
        </w:rPr>
        <w:t xml:space="preserve"> The key factors relating to the overspend within the contract year </w:t>
      </w:r>
      <w:r>
        <w:rPr>
          <w:rFonts w:cs="Calibri"/>
        </w:rPr>
        <w:t>were</w:t>
      </w:r>
      <w:r w:rsidR="00E558F5">
        <w:rPr>
          <w:rFonts w:cs="Calibri"/>
        </w:rPr>
        <w:t xml:space="preserve"> driven b</w:t>
      </w:r>
      <w:r>
        <w:rPr>
          <w:rFonts w:cs="Calibri"/>
        </w:rPr>
        <w:t>y</w:t>
      </w:r>
      <w:r w:rsidR="00E558F5">
        <w:rPr>
          <w:rFonts w:cs="Calibri"/>
        </w:rPr>
        <w:t xml:space="preserve"> costs associated with</w:t>
      </w:r>
      <w:r w:rsidR="000C1AFA">
        <w:rPr>
          <w:rFonts w:cs="Calibri"/>
        </w:rPr>
        <w:t xml:space="preserve"> </w:t>
      </w:r>
      <w:r w:rsidR="00E558F5">
        <w:rPr>
          <w:rFonts w:cs="Calibri"/>
        </w:rPr>
        <w:t>electricity</w:t>
      </w:r>
      <w:r w:rsidR="000C1AFA">
        <w:rPr>
          <w:rFonts w:cs="Calibri"/>
        </w:rPr>
        <w:t xml:space="preserve"> and gas, </w:t>
      </w:r>
      <w:r w:rsidR="00E558F5">
        <w:rPr>
          <w:rFonts w:cs="Calibri"/>
        </w:rPr>
        <w:t>fuel, operating consumables, engineering and maintenance items and external labour rate increases for third party service providers.</w:t>
      </w:r>
    </w:p>
    <w:p w14:paraId="7089B04E" w14:textId="77777777" w:rsidR="005E7CE2" w:rsidRPr="005E7CE2" w:rsidRDefault="005E7CE2" w:rsidP="005E7CE2">
      <w:pPr>
        <w:autoSpaceDE w:val="0"/>
        <w:autoSpaceDN w:val="0"/>
        <w:jc w:val="both"/>
        <w:rPr>
          <w:rFonts w:cs="Calibri"/>
          <w:b/>
          <w:bCs/>
        </w:rPr>
      </w:pPr>
    </w:p>
    <w:p w14:paraId="6D3D98AB" w14:textId="77777777" w:rsidR="005E7CE2" w:rsidRPr="005E7CE2" w:rsidRDefault="0069613F" w:rsidP="005E7CE2">
      <w:pPr>
        <w:autoSpaceDE w:val="0"/>
        <w:autoSpaceDN w:val="0"/>
        <w:jc w:val="both"/>
        <w:rPr>
          <w:rFonts w:cs="Calibri"/>
          <w:b/>
          <w:bCs/>
        </w:rPr>
      </w:pPr>
      <w:r w:rsidRPr="005E7CE2">
        <w:rPr>
          <w:rFonts w:cs="Calibri"/>
          <w:b/>
          <w:bCs/>
        </w:rPr>
        <w:t>Continuous Improvement</w:t>
      </w:r>
    </w:p>
    <w:p w14:paraId="6F16CD88" w14:textId="77777777" w:rsidR="005E7CE2" w:rsidRPr="005E7CE2" w:rsidRDefault="005E7CE2" w:rsidP="005E7CE2">
      <w:pPr>
        <w:autoSpaceDE w:val="0"/>
        <w:autoSpaceDN w:val="0"/>
        <w:jc w:val="both"/>
        <w:rPr>
          <w:rFonts w:cs="Calibri"/>
        </w:rPr>
      </w:pPr>
    </w:p>
    <w:p w14:paraId="58D7CC85" w14:textId="59147D1D" w:rsidR="005E7CE2" w:rsidRPr="005E7CE2" w:rsidRDefault="0069613F" w:rsidP="005E7CE2">
      <w:pPr>
        <w:autoSpaceDE w:val="0"/>
        <w:autoSpaceDN w:val="0"/>
        <w:jc w:val="both"/>
        <w:rPr>
          <w:rFonts w:cs="Calibri"/>
        </w:rPr>
      </w:pPr>
      <w:r w:rsidRPr="005E7CE2">
        <w:rPr>
          <w:rFonts w:cs="Calibri"/>
        </w:rPr>
        <w:t xml:space="preserve">As part of the company approach to continuous improvement, several health and safety related initiatives </w:t>
      </w:r>
      <w:r w:rsidR="00E558F5">
        <w:rPr>
          <w:rFonts w:cs="Calibri"/>
        </w:rPr>
        <w:t>continued to be developed</w:t>
      </w:r>
      <w:r w:rsidR="009E21D7">
        <w:rPr>
          <w:rFonts w:cs="Calibri"/>
        </w:rPr>
        <w:t xml:space="preserve"> </w:t>
      </w:r>
      <w:r w:rsidR="00957FF8">
        <w:rPr>
          <w:rFonts w:cs="Calibri"/>
        </w:rPr>
        <w:t xml:space="preserve">during the reporting period, </w:t>
      </w:r>
      <w:r w:rsidR="009E21D7">
        <w:rPr>
          <w:rFonts w:cs="Calibri"/>
        </w:rPr>
        <w:t xml:space="preserve">such as the </w:t>
      </w:r>
      <w:r w:rsidR="00957FF8">
        <w:rPr>
          <w:rFonts w:cs="Calibri"/>
        </w:rPr>
        <w:t xml:space="preserve">development of the </w:t>
      </w:r>
      <w:r w:rsidR="009E21D7">
        <w:rPr>
          <w:rFonts w:cs="Calibri"/>
        </w:rPr>
        <w:t xml:space="preserve">new vehicle and pedestrian safety technology </w:t>
      </w:r>
      <w:r w:rsidR="00E558F5">
        <w:rPr>
          <w:rFonts w:cs="Calibri"/>
        </w:rPr>
        <w:t xml:space="preserve">and efficiency improvements to existing processes and systems such as workplace safety, </w:t>
      </w:r>
      <w:r w:rsidR="00957FF8">
        <w:rPr>
          <w:rFonts w:cs="Calibri"/>
        </w:rPr>
        <w:t xml:space="preserve">compliance management </w:t>
      </w:r>
      <w:r w:rsidR="00E558F5">
        <w:rPr>
          <w:rFonts w:cs="Calibri"/>
        </w:rPr>
        <w:t xml:space="preserve">auditing, fire risk </w:t>
      </w:r>
      <w:r w:rsidR="00957FF8">
        <w:rPr>
          <w:rFonts w:cs="Calibri"/>
        </w:rPr>
        <w:t>mitigation</w:t>
      </w:r>
      <w:r w:rsidR="009E21D7">
        <w:rPr>
          <w:rFonts w:cs="Calibri"/>
        </w:rPr>
        <w:t xml:space="preserve"> and </w:t>
      </w:r>
      <w:r w:rsidR="00E558F5">
        <w:rPr>
          <w:rFonts w:cs="Calibri"/>
        </w:rPr>
        <w:t>legal compliance</w:t>
      </w:r>
      <w:r w:rsidR="00957FF8">
        <w:rPr>
          <w:rFonts w:cs="Calibri"/>
        </w:rPr>
        <w:t>.</w:t>
      </w:r>
    </w:p>
    <w:p w14:paraId="69CDFCBB" w14:textId="77777777" w:rsidR="005E7CE2" w:rsidRPr="005E7CE2" w:rsidRDefault="005E7CE2" w:rsidP="005E7CE2">
      <w:pPr>
        <w:autoSpaceDE w:val="0"/>
        <w:autoSpaceDN w:val="0"/>
        <w:jc w:val="both"/>
        <w:rPr>
          <w:rFonts w:cs="Arial"/>
          <w:b/>
          <w:bCs/>
          <w:sz w:val="28"/>
          <w:szCs w:val="28"/>
        </w:rPr>
      </w:pPr>
    </w:p>
    <w:p w14:paraId="1E6579C9" w14:textId="77777777" w:rsidR="005E7CE2" w:rsidRPr="005E7CE2" w:rsidRDefault="0069613F" w:rsidP="005E7CE2">
      <w:pPr>
        <w:autoSpaceDE w:val="0"/>
        <w:autoSpaceDN w:val="0"/>
        <w:jc w:val="both"/>
        <w:rPr>
          <w:rFonts w:cs="Arial"/>
          <w:b/>
          <w:bCs/>
          <w:szCs w:val="24"/>
        </w:rPr>
      </w:pPr>
      <w:r w:rsidRPr="005E7CE2">
        <w:rPr>
          <w:rFonts w:cs="Arial"/>
          <w:b/>
          <w:bCs/>
          <w:szCs w:val="24"/>
        </w:rPr>
        <w:t>People &amp; Welfare</w:t>
      </w:r>
    </w:p>
    <w:p w14:paraId="65AD02D0" w14:textId="77777777" w:rsidR="005E7CE2" w:rsidRPr="005E7CE2" w:rsidRDefault="005E7CE2" w:rsidP="005E7CE2">
      <w:pPr>
        <w:autoSpaceDE w:val="0"/>
        <w:autoSpaceDN w:val="0"/>
        <w:jc w:val="both"/>
        <w:rPr>
          <w:rFonts w:cs="Arial"/>
        </w:rPr>
      </w:pPr>
    </w:p>
    <w:p w14:paraId="5C12ADB9" w14:textId="4C8C23AA" w:rsidR="009E21D7" w:rsidRDefault="0069613F" w:rsidP="005E7CE2">
      <w:pPr>
        <w:jc w:val="both"/>
        <w:rPr>
          <w:rFonts w:cs="Arial"/>
          <w:szCs w:val="24"/>
        </w:rPr>
      </w:pPr>
      <w:r>
        <w:rPr>
          <w:rFonts w:cs="Arial"/>
          <w:szCs w:val="24"/>
        </w:rPr>
        <w:t>Staff retention</w:t>
      </w:r>
      <w:r w:rsidR="00957FF8">
        <w:rPr>
          <w:rFonts w:cs="Arial"/>
          <w:szCs w:val="24"/>
        </w:rPr>
        <w:t xml:space="preserve"> and absence management</w:t>
      </w:r>
      <w:r>
        <w:rPr>
          <w:rFonts w:cs="Arial"/>
          <w:szCs w:val="24"/>
        </w:rPr>
        <w:t xml:space="preserve"> presented several challenges during the contract year and recruitment exercises became a rolling programme throughout the year </w:t>
      </w:r>
      <w:r w:rsidR="00957FF8">
        <w:rPr>
          <w:rFonts w:cs="Arial"/>
          <w:szCs w:val="24"/>
        </w:rPr>
        <w:t>that</w:t>
      </w:r>
      <w:r>
        <w:rPr>
          <w:rFonts w:cs="Arial"/>
          <w:szCs w:val="24"/>
        </w:rPr>
        <w:t xml:space="preserve"> impacted on officer ability to focus and deliver several improvement</w:t>
      </w:r>
      <w:r w:rsidR="00957FF8">
        <w:rPr>
          <w:rFonts w:cs="Arial"/>
          <w:szCs w:val="24"/>
        </w:rPr>
        <w:t xml:space="preserve"> initiatives</w:t>
      </w:r>
      <w:r>
        <w:rPr>
          <w:rFonts w:cs="Arial"/>
          <w:szCs w:val="24"/>
        </w:rPr>
        <w:t xml:space="preserve"> relating to the Company </w:t>
      </w:r>
      <w:r w:rsidR="00957FF8">
        <w:rPr>
          <w:rFonts w:cs="Arial"/>
          <w:szCs w:val="24"/>
        </w:rPr>
        <w:t>P</w:t>
      </w:r>
      <w:r>
        <w:rPr>
          <w:rFonts w:cs="Arial"/>
          <w:szCs w:val="24"/>
        </w:rPr>
        <w:t xml:space="preserve">eople </w:t>
      </w:r>
      <w:r w:rsidR="00957FF8">
        <w:rPr>
          <w:rFonts w:cs="Arial"/>
          <w:szCs w:val="24"/>
        </w:rPr>
        <w:t>S</w:t>
      </w:r>
      <w:r>
        <w:rPr>
          <w:rFonts w:cs="Arial"/>
          <w:szCs w:val="24"/>
        </w:rPr>
        <w:t xml:space="preserve">trategy. Where necessary, </w:t>
      </w:r>
      <w:r w:rsidR="00957FF8">
        <w:rPr>
          <w:rFonts w:cs="Arial"/>
          <w:szCs w:val="24"/>
        </w:rPr>
        <w:t xml:space="preserve">staffing </w:t>
      </w:r>
      <w:r>
        <w:rPr>
          <w:rFonts w:cs="Arial"/>
          <w:szCs w:val="24"/>
        </w:rPr>
        <w:t xml:space="preserve">contingency arrangements were </w:t>
      </w:r>
      <w:r w:rsidR="00957FF8">
        <w:rPr>
          <w:rFonts w:cs="Arial"/>
          <w:szCs w:val="24"/>
        </w:rPr>
        <w:t xml:space="preserve">effectively </w:t>
      </w:r>
      <w:r>
        <w:rPr>
          <w:rFonts w:cs="Arial"/>
          <w:szCs w:val="24"/>
        </w:rPr>
        <w:t>deployed</w:t>
      </w:r>
      <w:r w:rsidR="00957FF8">
        <w:rPr>
          <w:rFonts w:cs="Arial"/>
          <w:szCs w:val="24"/>
        </w:rPr>
        <w:t xml:space="preserve"> </w:t>
      </w:r>
      <w:r>
        <w:rPr>
          <w:rFonts w:cs="Arial"/>
          <w:szCs w:val="24"/>
        </w:rPr>
        <w:t xml:space="preserve">and </w:t>
      </w:r>
      <w:r w:rsidR="00957FF8">
        <w:rPr>
          <w:rFonts w:cs="Arial"/>
          <w:szCs w:val="24"/>
        </w:rPr>
        <w:t xml:space="preserve">positive levels of </w:t>
      </w:r>
      <w:r>
        <w:rPr>
          <w:rFonts w:cs="Arial"/>
          <w:szCs w:val="24"/>
        </w:rPr>
        <w:t>staff flexibility was</w:t>
      </w:r>
      <w:r w:rsidR="007B0A44">
        <w:rPr>
          <w:rFonts w:cs="Arial"/>
          <w:szCs w:val="24"/>
        </w:rPr>
        <w:t xml:space="preserve"> observed to ensure the delivery of</w:t>
      </w:r>
      <w:r>
        <w:rPr>
          <w:rFonts w:cs="Arial"/>
          <w:szCs w:val="24"/>
        </w:rPr>
        <w:t xml:space="preserve"> our services in a safe and efficient manner.</w:t>
      </w:r>
    </w:p>
    <w:p w14:paraId="22ACC57D" w14:textId="77777777" w:rsidR="007B0A44" w:rsidRDefault="007B0A44" w:rsidP="005E7CE2">
      <w:pPr>
        <w:jc w:val="both"/>
        <w:rPr>
          <w:rFonts w:cs="Arial"/>
          <w:szCs w:val="24"/>
        </w:rPr>
      </w:pPr>
    </w:p>
    <w:p w14:paraId="61F439E9" w14:textId="0F57E355" w:rsidR="007B0A44" w:rsidRPr="007B0A44" w:rsidRDefault="0069613F" w:rsidP="005E7CE2">
      <w:pPr>
        <w:jc w:val="both"/>
        <w:rPr>
          <w:rFonts w:cs="Arial"/>
          <w:b/>
          <w:bCs/>
          <w:szCs w:val="24"/>
        </w:rPr>
      </w:pPr>
      <w:r>
        <w:rPr>
          <w:rFonts w:cs="Arial"/>
          <w:b/>
          <w:bCs/>
          <w:szCs w:val="24"/>
        </w:rPr>
        <w:t xml:space="preserve">Company </w:t>
      </w:r>
      <w:r w:rsidRPr="007B0A44">
        <w:rPr>
          <w:rFonts w:cs="Arial"/>
          <w:b/>
          <w:bCs/>
          <w:szCs w:val="24"/>
        </w:rPr>
        <w:t>Organisational Improvements</w:t>
      </w:r>
    </w:p>
    <w:p w14:paraId="5E5859E1" w14:textId="77777777" w:rsidR="009E21D7" w:rsidRPr="005E7CE2" w:rsidRDefault="009E21D7" w:rsidP="005E7CE2">
      <w:pPr>
        <w:jc w:val="both"/>
        <w:rPr>
          <w:rFonts w:cs="Arial"/>
          <w:szCs w:val="24"/>
        </w:rPr>
      </w:pPr>
    </w:p>
    <w:p w14:paraId="6F847E72" w14:textId="3740FD56" w:rsidR="005E7CE2" w:rsidRPr="005E7CE2" w:rsidRDefault="0069613F" w:rsidP="005E7CE2">
      <w:pPr>
        <w:jc w:val="both"/>
        <w:rPr>
          <w:rFonts w:cs="Arial"/>
          <w:szCs w:val="24"/>
        </w:rPr>
      </w:pPr>
      <w:r w:rsidRPr="005E7CE2">
        <w:rPr>
          <w:rFonts w:cs="Arial"/>
          <w:szCs w:val="24"/>
        </w:rPr>
        <w:t xml:space="preserve">In support of organisational </w:t>
      </w:r>
      <w:r w:rsidR="00EC2CF3">
        <w:rPr>
          <w:rFonts w:cs="Arial"/>
          <w:szCs w:val="24"/>
        </w:rPr>
        <w:t>improvements</w:t>
      </w:r>
      <w:r w:rsidRPr="005E7CE2">
        <w:rPr>
          <w:rFonts w:cs="Arial"/>
          <w:szCs w:val="24"/>
        </w:rPr>
        <w:t xml:space="preserve">, </w:t>
      </w:r>
      <w:r w:rsidR="00EC2CF3">
        <w:rPr>
          <w:rFonts w:cs="Arial"/>
          <w:szCs w:val="24"/>
        </w:rPr>
        <w:t>the</w:t>
      </w:r>
      <w:r w:rsidRPr="005E7CE2">
        <w:rPr>
          <w:rFonts w:cs="Arial"/>
          <w:szCs w:val="24"/>
        </w:rPr>
        <w:t xml:space="preserve"> programme of work </w:t>
      </w:r>
      <w:r w:rsidR="00EC2CF3">
        <w:rPr>
          <w:rFonts w:cs="Arial"/>
          <w:szCs w:val="24"/>
        </w:rPr>
        <w:t>associated with</w:t>
      </w:r>
      <w:r w:rsidRPr="005E7CE2">
        <w:rPr>
          <w:rFonts w:cs="Arial"/>
          <w:szCs w:val="24"/>
        </w:rPr>
        <w:t xml:space="preserve"> improving efficiencies, processes and systems related to the management of human resources</w:t>
      </w:r>
      <w:r w:rsidR="00EC2CF3">
        <w:rPr>
          <w:rFonts w:cs="Arial"/>
          <w:szCs w:val="24"/>
        </w:rPr>
        <w:t xml:space="preserve"> continued, despite staffing challenges</w:t>
      </w:r>
      <w:r w:rsidR="007B0A44">
        <w:rPr>
          <w:rFonts w:cs="Arial"/>
          <w:szCs w:val="24"/>
        </w:rPr>
        <w:t xml:space="preserve">, </w:t>
      </w:r>
      <w:r w:rsidR="00EC2CF3">
        <w:rPr>
          <w:rFonts w:cs="Arial"/>
          <w:szCs w:val="24"/>
        </w:rPr>
        <w:t xml:space="preserve">and will continue </w:t>
      </w:r>
      <w:r w:rsidR="007B0A44">
        <w:rPr>
          <w:rFonts w:cs="Arial"/>
          <w:szCs w:val="24"/>
        </w:rPr>
        <w:t xml:space="preserve">to remain a high priority </w:t>
      </w:r>
      <w:r w:rsidR="00EC2CF3">
        <w:rPr>
          <w:rFonts w:cs="Arial"/>
          <w:szCs w:val="24"/>
        </w:rPr>
        <w:t>into the next contract year</w:t>
      </w:r>
      <w:r w:rsidRPr="005E7CE2">
        <w:rPr>
          <w:rFonts w:cs="Arial"/>
          <w:szCs w:val="24"/>
        </w:rPr>
        <w:t>.</w:t>
      </w:r>
    </w:p>
    <w:p w14:paraId="48F3D9E5" w14:textId="77777777" w:rsidR="005E7CE2" w:rsidRPr="005E7CE2" w:rsidRDefault="005E7CE2" w:rsidP="005E7CE2">
      <w:pPr>
        <w:jc w:val="both"/>
        <w:rPr>
          <w:rFonts w:cs="Calibri"/>
          <w:b/>
          <w:sz w:val="28"/>
          <w:szCs w:val="28"/>
        </w:rPr>
      </w:pPr>
    </w:p>
    <w:p w14:paraId="4DFAF10B" w14:textId="77777777" w:rsidR="005E7CE2" w:rsidRPr="005E7CE2" w:rsidRDefault="0069613F" w:rsidP="005E7CE2">
      <w:pPr>
        <w:jc w:val="both"/>
        <w:rPr>
          <w:rFonts w:cs="Calibri"/>
          <w:b/>
          <w:szCs w:val="24"/>
        </w:rPr>
      </w:pPr>
      <w:r w:rsidRPr="005E7CE2">
        <w:rPr>
          <w:rFonts w:cs="Calibri"/>
          <w:b/>
          <w:szCs w:val="24"/>
        </w:rPr>
        <w:t>Lancashire County Council Partnership &amp; Strategy</w:t>
      </w:r>
    </w:p>
    <w:p w14:paraId="2EFE1E72" w14:textId="77777777" w:rsidR="005E7CE2" w:rsidRPr="005E7CE2" w:rsidRDefault="005E7CE2" w:rsidP="005E7CE2">
      <w:pPr>
        <w:jc w:val="both"/>
        <w:rPr>
          <w:rFonts w:cs="Calibri"/>
          <w:b/>
          <w:szCs w:val="24"/>
        </w:rPr>
      </w:pPr>
    </w:p>
    <w:p w14:paraId="65E2C105" w14:textId="63309D5B" w:rsidR="005E7CE2" w:rsidRPr="005E7CE2" w:rsidRDefault="0069613F" w:rsidP="005E7CE2">
      <w:pPr>
        <w:jc w:val="both"/>
        <w:rPr>
          <w:rFonts w:cs="Calibri"/>
        </w:rPr>
      </w:pPr>
      <w:r w:rsidRPr="005E7CE2">
        <w:rPr>
          <w:rFonts w:cs="Calibri"/>
        </w:rPr>
        <w:t>Officers of the company</w:t>
      </w:r>
      <w:r w:rsidR="00EC2CF3">
        <w:rPr>
          <w:rFonts w:cs="Calibri"/>
        </w:rPr>
        <w:t xml:space="preserve"> </w:t>
      </w:r>
      <w:r w:rsidRPr="005E7CE2">
        <w:rPr>
          <w:rFonts w:cs="Calibri"/>
        </w:rPr>
        <w:t xml:space="preserve">continued to work in collaboration and partnership with the county councils waste services, and focus had continued within the contract year in support of several initiatives; </w:t>
      </w:r>
      <w:r w:rsidR="00EC2CF3">
        <w:rPr>
          <w:rFonts w:cs="Calibri"/>
        </w:rPr>
        <w:t xml:space="preserve">future waste strategy options modelling </w:t>
      </w:r>
      <w:r w:rsidR="00EC2CF3" w:rsidRPr="005E7CE2">
        <w:rPr>
          <w:rFonts w:cs="Calibri"/>
        </w:rPr>
        <w:t>linked to potential changes to UK government policy</w:t>
      </w:r>
      <w:r w:rsidRPr="005E7CE2">
        <w:rPr>
          <w:rFonts w:cs="Calibri"/>
        </w:rPr>
        <w:t xml:space="preserve">, </w:t>
      </w:r>
      <w:r w:rsidR="00EC2CF3">
        <w:rPr>
          <w:rFonts w:cs="Calibri"/>
        </w:rPr>
        <w:t xml:space="preserve">continued </w:t>
      </w:r>
      <w:r w:rsidRPr="005E7CE2">
        <w:rPr>
          <w:rFonts w:cs="Calibri"/>
        </w:rPr>
        <w:t>business</w:t>
      </w:r>
      <w:r w:rsidR="00CB0415">
        <w:rPr>
          <w:rFonts w:cs="Calibri"/>
        </w:rPr>
        <w:t xml:space="preserve"> and fire</w:t>
      </w:r>
      <w:r w:rsidRPr="005E7CE2">
        <w:rPr>
          <w:rFonts w:cs="Calibri"/>
        </w:rPr>
        <w:t xml:space="preserve"> risk mitigation</w:t>
      </w:r>
      <w:r w:rsidR="00CB0415">
        <w:rPr>
          <w:rFonts w:cs="Calibri"/>
        </w:rPr>
        <w:t xml:space="preserve">, </w:t>
      </w:r>
      <w:r w:rsidRPr="005E7CE2">
        <w:rPr>
          <w:rFonts w:cs="Calibri"/>
        </w:rPr>
        <w:t xml:space="preserve">energy management and decarbonisation </w:t>
      </w:r>
      <w:r w:rsidR="00EC2CF3">
        <w:rPr>
          <w:rFonts w:cs="Calibri"/>
        </w:rPr>
        <w:t>options modelling</w:t>
      </w:r>
      <w:r w:rsidR="00CB0415">
        <w:rPr>
          <w:rFonts w:cs="Calibri"/>
        </w:rPr>
        <w:t xml:space="preserve"> and response to changes in the management of waste upholstered domestic seating containing persistent organic pollutants</w:t>
      </w:r>
      <w:r w:rsidR="00EC2CF3">
        <w:rPr>
          <w:rFonts w:cs="Calibri"/>
        </w:rPr>
        <w:t xml:space="preserve">. </w:t>
      </w:r>
    </w:p>
    <w:p w14:paraId="5C4A8D71" w14:textId="77777777" w:rsidR="005E7CE2" w:rsidRPr="005E7CE2" w:rsidRDefault="005E7CE2" w:rsidP="005E7CE2">
      <w:pPr>
        <w:jc w:val="both"/>
        <w:rPr>
          <w:rFonts w:cs="Calibri"/>
        </w:rPr>
      </w:pPr>
    </w:p>
    <w:p w14:paraId="332101E4" w14:textId="77777777" w:rsidR="005E7CE2" w:rsidRPr="005E7CE2" w:rsidRDefault="0069613F" w:rsidP="005E7CE2">
      <w:pPr>
        <w:jc w:val="both"/>
        <w:rPr>
          <w:rFonts w:cs="Calibri"/>
          <w:b/>
          <w:bCs/>
        </w:rPr>
      </w:pPr>
      <w:r w:rsidRPr="005E7CE2">
        <w:rPr>
          <w:rFonts w:cs="Calibri"/>
          <w:b/>
          <w:bCs/>
        </w:rPr>
        <w:t>Energy Management and Decarbonisation</w:t>
      </w:r>
    </w:p>
    <w:p w14:paraId="14525981" w14:textId="77777777" w:rsidR="005E7CE2" w:rsidRPr="005E7CE2" w:rsidRDefault="005E7CE2" w:rsidP="005E7CE2">
      <w:pPr>
        <w:jc w:val="both"/>
        <w:rPr>
          <w:rFonts w:cs="Calibri"/>
          <w:b/>
          <w:bCs/>
        </w:rPr>
      </w:pPr>
    </w:p>
    <w:p w14:paraId="36405CE4" w14:textId="5B1184B3" w:rsidR="005E7CE2" w:rsidRPr="005E7CE2" w:rsidRDefault="0069613F" w:rsidP="005E7CE2">
      <w:pPr>
        <w:jc w:val="both"/>
        <w:rPr>
          <w:rFonts w:cs="Calibri"/>
        </w:rPr>
      </w:pPr>
      <w:r>
        <w:rPr>
          <w:rFonts w:cs="Calibri"/>
        </w:rPr>
        <w:t>Officers continued to investigate new initiatives in regards of energy management and decarbonisation</w:t>
      </w:r>
      <w:r w:rsidR="00CB0415">
        <w:rPr>
          <w:rFonts w:cs="Calibri"/>
        </w:rPr>
        <w:t>, renewables energy options and proposals,</w:t>
      </w:r>
      <w:r>
        <w:rPr>
          <w:rFonts w:cs="Calibri"/>
        </w:rPr>
        <w:t xml:space="preserve"> and </w:t>
      </w:r>
      <w:r w:rsidR="00CB0415">
        <w:rPr>
          <w:rFonts w:cs="Calibri"/>
        </w:rPr>
        <w:t xml:space="preserve">also </w:t>
      </w:r>
      <w:r>
        <w:rPr>
          <w:rFonts w:cs="Calibri"/>
        </w:rPr>
        <w:t>commenced with the implementation and development of a centralised energy monitoring and targeting system that will be fundamental in managing the two waste treatment facilities electricity consumption</w:t>
      </w:r>
      <w:r w:rsidR="00CB0415">
        <w:rPr>
          <w:rFonts w:cs="Calibri"/>
        </w:rPr>
        <w:t xml:space="preserve">, </w:t>
      </w:r>
      <w:r>
        <w:rPr>
          <w:rFonts w:cs="Calibri"/>
        </w:rPr>
        <w:t>and</w:t>
      </w:r>
      <w:r w:rsidR="00CB0415">
        <w:rPr>
          <w:rFonts w:cs="Calibri"/>
        </w:rPr>
        <w:t xml:space="preserve"> also</w:t>
      </w:r>
      <w:r>
        <w:rPr>
          <w:rFonts w:cs="Calibri"/>
        </w:rPr>
        <w:t xml:space="preserve"> assist in identifying future opportunities and quantifying savings should investment </w:t>
      </w:r>
      <w:r w:rsidR="00A40F98" w:rsidRPr="005E7CE2">
        <w:rPr>
          <w:rFonts w:cs="Calibri"/>
        </w:rPr>
        <w:t>to reduce carbon emissions</w:t>
      </w:r>
      <w:r>
        <w:rPr>
          <w:rFonts w:cs="Calibri"/>
        </w:rPr>
        <w:t xml:space="preserve"> be made by the shareholders. T</w:t>
      </w:r>
      <w:r w:rsidR="00A40F98" w:rsidRPr="005E7CE2">
        <w:rPr>
          <w:rFonts w:cs="Calibri"/>
        </w:rPr>
        <w:t xml:space="preserve">he deployment of electric waste handling equipment and road vehicles </w:t>
      </w:r>
      <w:r>
        <w:rPr>
          <w:rFonts w:cs="Calibri"/>
        </w:rPr>
        <w:t xml:space="preserve">continued to operate as part of the company services. The Company continues to </w:t>
      </w:r>
      <w:r w:rsidR="00CB0415">
        <w:rPr>
          <w:rFonts w:cs="Calibri"/>
        </w:rPr>
        <w:t>remain</w:t>
      </w:r>
      <w:r w:rsidR="00CB0415" w:rsidRPr="005E7CE2">
        <w:rPr>
          <w:rFonts w:cs="Calibri"/>
        </w:rPr>
        <w:t xml:space="preserve"> committed</w:t>
      </w:r>
      <w:r w:rsidR="00A40F98" w:rsidRPr="005E7CE2">
        <w:rPr>
          <w:rFonts w:cs="Calibri"/>
        </w:rPr>
        <w:t xml:space="preserve"> to identifying new initiatives for consideration over the next </w:t>
      </w:r>
      <w:r>
        <w:rPr>
          <w:rFonts w:cs="Calibri"/>
        </w:rPr>
        <w:t>contract year</w:t>
      </w:r>
      <w:r w:rsidR="00A40F98" w:rsidRPr="005E7CE2">
        <w:rPr>
          <w:rFonts w:cs="Calibri"/>
        </w:rPr>
        <w:t xml:space="preserve"> under a new policy and more formalised management approach.</w:t>
      </w:r>
    </w:p>
    <w:p w14:paraId="6CD9A46E" w14:textId="77777777" w:rsidR="00E94B70" w:rsidRDefault="00E94B70" w:rsidP="005E7CE2">
      <w:pPr>
        <w:jc w:val="both"/>
        <w:rPr>
          <w:rFonts w:cs="Calibri"/>
          <w:b/>
          <w:bCs/>
        </w:rPr>
      </w:pPr>
    </w:p>
    <w:p w14:paraId="0818275D" w14:textId="77777777" w:rsidR="00E94B70" w:rsidRDefault="00E94B70" w:rsidP="005E7CE2">
      <w:pPr>
        <w:jc w:val="both"/>
        <w:rPr>
          <w:rFonts w:cs="Calibri"/>
          <w:b/>
          <w:bCs/>
        </w:rPr>
      </w:pPr>
    </w:p>
    <w:p w14:paraId="00874E0E" w14:textId="77777777" w:rsidR="00E94B70" w:rsidRDefault="00E94B70" w:rsidP="005E7CE2">
      <w:pPr>
        <w:jc w:val="both"/>
        <w:rPr>
          <w:rFonts w:cs="Calibri"/>
          <w:b/>
          <w:bCs/>
        </w:rPr>
      </w:pPr>
    </w:p>
    <w:p w14:paraId="348995D7" w14:textId="083F8CC5" w:rsidR="005E7CE2" w:rsidRDefault="0069613F" w:rsidP="005E7CE2">
      <w:pPr>
        <w:jc w:val="both"/>
        <w:rPr>
          <w:rFonts w:cs="Calibri"/>
          <w:b/>
          <w:bCs/>
        </w:rPr>
      </w:pPr>
      <w:r w:rsidRPr="005E7CE2">
        <w:rPr>
          <w:rFonts w:cs="Calibri"/>
          <w:b/>
          <w:bCs/>
        </w:rPr>
        <w:lastRenderedPageBreak/>
        <w:t>Business</w:t>
      </w:r>
      <w:r w:rsidR="00D910C4">
        <w:rPr>
          <w:rFonts w:cs="Calibri"/>
          <w:b/>
          <w:bCs/>
        </w:rPr>
        <w:t xml:space="preserve"> &amp; Fire</w:t>
      </w:r>
      <w:r w:rsidRPr="005E7CE2">
        <w:rPr>
          <w:rFonts w:cs="Calibri"/>
          <w:b/>
          <w:bCs/>
        </w:rPr>
        <w:t xml:space="preserve"> Risk Mitigation</w:t>
      </w:r>
    </w:p>
    <w:p w14:paraId="090808C2" w14:textId="77777777" w:rsidR="00D1271E" w:rsidRPr="005E7CE2" w:rsidRDefault="00D1271E" w:rsidP="005E7CE2">
      <w:pPr>
        <w:jc w:val="both"/>
        <w:rPr>
          <w:rFonts w:cs="Calibri"/>
          <w:b/>
          <w:bCs/>
        </w:rPr>
      </w:pPr>
    </w:p>
    <w:p w14:paraId="27097783" w14:textId="51461279" w:rsidR="005E7CE2" w:rsidRPr="005E7CE2" w:rsidRDefault="00D978F9" w:rsidP="005E7CE2">
      <w:pPr>
        <w:jc w:val="both"/>
        <w:rPr>
          <w:rFonts w:cs="Arial"/>
          <w:szCs w:val="24"/>
        </w:rPr>
      </w:pPr>
      <w:r>
        <w:rPr>
          <w:rFonts w:cs="Arial"/>
          <w:szCs w:val="24"/>
        </w:rPr>
        <w:t xml:space="preserve">Officers will continue to focus </w:t>
      </w:r>
      <w:r w:rsidR="00D910C4">
        <w:rPr>
          <w:rFonts w:cs="Arial"/>
          <w:szCs w:val="24"/>
        </w:rPr>
        <w:t xml:space="preserve">on </w:t>
      </w:r>
      <w:r>
        <w:rPr>
          <w:rFonts w:cs="Arial"/>
          <w:szCs w:val="24"/>
        </w:rPr>
        <w:t xml:space="preserve">business and fire risk prevention measures and the implementation of actions associated with the </w:t>
      </w:r>
      <w:r w:rsidR="00D910C4">
        <w:rPr>
          <w:rFonts w:cs="Arial"/>
          <w:szCs w:val="24"/>
        </w:rPr>
        <w:t>medium-term</w:t>
      </w:r>
      <w:r>
        <w:rPr>
          <w:rFonts w:cs="Arial"/>
          <w:szCs w:val="24"/>
        </w:rPr>
        <w:t xml:space="preserve"> loss prevention programme</w:t>
      </w:r>
      <w:r w:rsidR="00D910C4">
        <w:rPr>
          <w:rFonts w:cs="Arial"/>
          <w:szCs w:val="24"/>
        </w:rPr>
        <w:t xml:space="preserve"> that is linked to the future use of the two waste treatment facilities</w:t>
      </w:r>
      <w:r>
        <w:rPr>
          <w:rFonts w:cs="Arial"/>
          <w:szCs w:val="24"/>
        </w:rPr>
        <w:t>.</w:t>
      </w:r>
    </w:p>
    <w:p w14:paraId="5B59A532" w14:textId="77777777" w:rsidR="00D978F9" w:rsidRDefault="00D978F9" w:rsidP="005E7CE2">
      <w:pPr>
        <w:jc w:val="both"/>
        <w:rPr>
          <w:rFonts w:cs="Calibri"/>
          <w:b/>
          <w:bCs/>
        </w:rPr>
      </w:pPr>
    </w:p>
    <w:p w14:paraId="33A954D1" w14:textId="37E4B0A6" w:rsidR="005E7CE2" w:rsidRPr="005E7CE2" w:rsidRDefault="0069613F" w:rsidP="005E7CE2">
      <w:pPr>
        <w:jc w:val="both"/>
        <w:rPr>
          <w:rFonts w:cs="Calibri"/>
          <w:b/>
          <w:bCs/>
        </w:rPr>
      </w:pPr>
      <w:r w:rsidRPr="005E7CE2">
        <w:rPr>
          <w:rFonts w:cs="Calibri"/>
          <w:b/>
          <w:bCs/>
        </w:rPr>
        <w:t>Waste Strategy Initiatives</w:t>
      </w:r>
    </w:p>
    <w:p w14:paraId="0227A102" w14:textId="77777777" w:rsidR="005E7CE2" w:rsidRPr="005E7CE2" w:rsidRDefault="005E7CE2" w:rsidP="005E7CE2">
      <w:pPr>
        <w:jc w:val="both"/>
        <w:rPr>
          <w:rFonts w:cs="Calibri"/>
          <w:b/>
          <w:bCs/>
        </w:rPr>
      </w:pPr>
    </w:p>
    <w:p w14:paraId="45587D5A" w14:textId="3DED85D9" w:rsidR="005E7CE2" w:rsidRPr="005E7CE2" w:rsidRDefault="0069613F" w:rsidP="005E7CE2">
      <w:pPr>
        <w:jc w:val="both"/>
        <w:rPr>
          <w:rFonts w:cs="Calibri"/>
        </w:rPr>
      </w:pPr>
      <w:r w:rsidRPr="005E7CE2">
        <w:rPr>
          <w:rFonts w:cs="Calibri"/>
        </w:rPr>
        <w:t>Officers of the company continued to work in partnership and collaboration with the county council</w:t>
      </w:r>
      <w:r>
        <w:rPr>
          <w:rFonts w:cs="Calibri"/>
        </w:rPr>
        <w:t>'</w:t>
      </w:r>
      <w:r w:rsidRPr="005E7CE2">
        <w:rPr>
          <w:rFonts w:cs="Calibri"/>
        </w:rPr>
        <w:t xml:space="preserve">s waste management services </w:t>
      </w:r>
      <w:r>
        <w:rPr>
          <w:rFonts w:cs="Calibri"/>
        </w:rPr>
        <w:t>on</w:t>
      </w:r>
      <w:r w:rsidRPr="005E7CE2">
        <w:rPr>
          <w:rFonts w:cs="Calibri"/>
        </w:rPr>
        <w:t xml:space="preserve"> future waste strategy initiatives, primarily in identifying options</w:t>
      </w:r>
      <w:r w:rsidR="00D910C4">
        <w:rPr>
          <w:rFonts w:cs="Calibri"/>
        </w:rPr>
        <w:t xml:space="preserve"> and cost models</w:t>
      </w:r>
      <w:r w:rsidRPr="005E7CE2">
        <w:rPr>
          <w:rFonts w:cs="Calibri"/>
        </w:rPr>
        <w:t xml:space="preserve"> for the treatment of source separated food waste</w:t>
      </w:r>
      <w:r w:rsidR="00E05414">
        <w:rPr>
          <w:rFonts w:cs="Calibri"/>
        </w:rPr>
        <w:t>, to include</w:t>
      </w:r>
      <w:r w:rsidRPr="005E7CE2">
        <w:rPr>
          <w:rFonts w:cs="Calibri"/>
        </w:rPr>
        <w:t xml:space="preserve"> </w:t>
      </w:r>
      <w:r w:rsidR="00E05414">
        <w:rPr>
          <w:rFonts w:cs="Calibri"/>
        </w:rPr>
        <w:t xml:space="preserve">operational models in support of the future outline waste strategy. Farington waste treatment facility preparations works </w:t>
      </w:r>
      <w:r>
        <w:rPr>
          <w:rFonts w:cs="Calibri"/>
        </w:rPr>
        <w:t>were</w:t>
      </w:r>
      <w:r w:rsidR="00E05414">
        <w:rPr>
          <w:rFonts w:cs="Calibri"/>
        </w:rPr>
        <w:t xml:space="preserve"> concluded within the redundant anaerobic digestion building that aimed to prepare the location for alternative waste treatment technologies associated with source separated food waste.</w:t>
      </w:r>
    </w:p>
    <w:p w14:paraId="6ECDC54E" w14:textId="77777777" w:rsidR="005E7CE2" w:rsidRPr="005E7CE2" w:rsidRDefault="005E7CE2" w:rsidP="005E7CE2">
      <w:pPr>
        <w:jc w:val="both"/>
        <w:rPr>
          <w:rFonts w:cs="Calibri"/>
        </w:rPr>
      </w:pPr>
    </w:p>
    <w:p w14:paraId="6717297C" w14:textId="12A31AE0" w:rsidR="005E7CE2" w:rsidRPr="005E7CE2" w:rsidRDefault="0069613F" w:rsidP="005E7CE2">
      <w:pPr>
        <w:jc w:val="both"/>
        <w:rPr>
          <w:rFonts w:cs="Calibri"/>
          <w:b/>
          <w:szCs w:val="24"/>
        </w:rPr>
      </w:pPr>
      <w:r w:rsidRPr="005E7CE2">
        <w:rPr>
          <w:rFonts w:cs="Calibri"/>
          <w:b/>
          <w:szCs w:val="24"/>
        </w:rPr>
        <w:t>Forward Plans - Contract Year 202</w:t>
      </w:r>
      <w:r w:rsidR="0060580C">
        <w:rPr>
          <w:rFonts w:cs="Calibri"/>
          <w:b/>
          <w:szCs w:val="24"/>
        </w:rPr>
        <w:t>3</w:t>
      </w:r>
      <w:r w:rsidRPr="005E7CE2">
        <w:rPr>
          <w:rFonts w:cs="Calibri"/>
          <w:b/>
          <w:szCs w:val="24"/>
        </w:rPr>
        <w:t xml:space="preserve"> / 202</w:t>
      </w:r>
      <w:r w:rsidR="0060580C">
        <w:rPr>
          <w:rFonts w:cs="Calibri"/>
          <w:b/>
          <w:szCs w:val="24"/>
        </w:rPr>
        <w:t>4</w:t>
      </w:r>
      <w:r w:rsidRPr="005E7CE2">
        <w:rPr>
          <w:rFonts w:cs="Calibri"/>
          <w:b/>
          <w:szCs w:val="24"/>
        </w:rPr>
        <w:t xml:space="preserve"> </w:t>
      </w:r>
    </w:p>
    <w:p w14:paraId="7E9F6677" w14:textId="77777777" w:rsidR="005E7CE2" w:rsidRPr="005E7CE2" w:rsidRDefault="005E7CE2" w:rsidP="005E7CE2">
      <w:pPr>
        <w:jc w:val="both"/>
        <w:rPr>
          <w:rFonts w:cs="Calibri"/>
          <w:b/>
        </w:rPr>
      </w:pPr>
    </w:p>
    <w:p w14:paraId="442ADD10" w14:textId="77777777" w:rsidR="005E7CE2" w:rsidRPr="005E7CE2" w:rsidRDefault="0069613F" w:rsidP="005E7CE2">
      <w:pPr>
        <w:jc w:val="both"/>
        <w:rPr>
          <w:rFonts w:cs="Calibri"/>
          <w:b/>
        </w:rPr>
      </w:pPr>
      <w:r w:rsidRPr="005E7CE2">
        <w:rPr>
          <w:rFonts w:cs="Calibri"/>
          <w:b/>
        </w:rPr>
        <w:t>Operational Performance</w:t>
      </w:r>
    </w:p>
    <w:p w14:paraId="3B6F9624" w14:textId="77777777" w:rsidR="005E7CE2" w:rsidRPr="005E7CE2" w:rsidRDefault="005E7CE2" w:rsidP="005E7CE2">
      <w:pPr>
        <w:jc w:val="both"/>
        <w:rPr>
          <w:rFonts w:cs="Calibri"/>
          <w:bCs/>
        </w:rPr>
      </w:pPr>
    </w:p>
    <w:p w14:paraId="42DFA910" w14:textId="303AF12A" w:rsidR="005E7CE2" w:rsidRPr="005E7CE2" w:rsidRDefault="0069613F" w:rsidP="005E7CE2">
      <w:pPr>
        <w:jc w:val="both"/>
        <w:rPr>
          <w:rFonts w:cs="Calibri"/>
          <w:bCs/>
        </w:rPr>
      </w:pPr>
      <w:r w:rsidRPr="005E7CE2">
        <w:rPr>
          <w:rFonts w:cs="Calibri"/>
          <w:bCs/>
        </w:rPr>
        <w:t xml:space="preserve">Operational stability and consistency will </w:t>
      </w:r>
      <w:r w:rsidR="00D978F9">
        <w:rPr>
          <w:rFonts w:cs="Calibri"/>
          <w:bCs/>
        </w:rPr>
        <w:t>remain</w:t>
      </w:r>
      <w:r w:rsidR="00D978F9" w:rsidRPr="005E7CE2">
        <w:rPr>
          <w:rFonts w:cs="Calibri"/>
          <w:bCs/>
        </w:rPr>
        <w:t xml:space="preserve"> </w:t>
      </w:r>
      <w:r w:rsidRPr="005E7CE2">
        <w:rPr>
          <w:rFonts w:cs="Calibri"/>
          <w:bCs/>
        </w:rPr>
        <w:t xml:space="preserve">a key focus for the next contract year, as per previous years. The annual business plan defines operational and financial targets as set out within </w:t>
      </w:r>
      <w:r w:rsidR="00D1271E">
        <w:rPr>
          <w:rFonts w:cs="Calibri"/>
          <w:bCs/>
        </w:rPr>
        <w:t>the</w:t>
      </w:r>
      <w:r w:rsidRPr="005E7CE2">
        <w:rPr>
          <w:rFonts w:cs="Calibri"/>
          <w:bCs/>
        </w:rPr>
        <w:t xml:space="preserve"> agreement made between the county council and the waste company, targets of which will be adopted into the company’s operational performance reports to ensure targets are met; annual business plan subject to company Board approval.</w:t>
      </w:r>
    </w:p>
    <w:p w14:paraId="2FDA98EC" w14:textId="77777777" w:rsidR="00D978F9" w:rsidRDefault="00D978F9" w:rsidP="005E7CE2">
      <w:pPr>
        <w:jc w:val="both"/>
      </w:pPr>
    </w:p>
    <w:p w14:paraId="19659751" w14:textId="743EFF71" w:rsidR="005E7CE2" w:rsidRDefault="0069613F" w:rsidP="005E7CE2">
      <w:pPr>
        <w:jc w:val="both"/>
      </w:pPr>
      <w:r w:rsidRPr="005E7CE2">
        <w:t xml:space="preserve">Annual Business Plan Framework </w:t>
      </w:r>
    </w:p>
    <w:p w14:paraId="0FF285A6" w14:textId="77777777" w:rsidR="00D978F9" w:rsidRPr="005E7CE2" w:rsidRDefault="00D978F9" w:rsidP="005E7CE2">
      <w:pPr>
        <w:jc w:val="both"/>
      </w:pPr>
    </w:p>
    <w:p w14:paraId="696AC35C" w14:textId="77777777" w:rsidR="005E7CE2" w:rsidRPr="005E7CE2" w:rsidRDefault="0069613F" w:rsidP="005E7CE2">
      <w:pPr>
        <w:numPr>
          <w:ilvl w:val="0"/>
          <w:numId w:val="4"/>
        </w:numPr>
        <w:spacing w:after="160" w:line="259" w:lineRule="auto"/>
        <w:contextualSpacing/>
        <w:jc w:val="both"/>
      </w:pPr>
      <w:r w:rsidRPr="005E7CE2">
        <w:t xml:space="preserve">Health &amp; Safety, Environmental &amp; Quality Plans </w:t>
      </w:r>
    </w:p>
    <w:p w14:paraId="3FD57E75" w14:textId="77777777" w:rsidR="005E7CE2" w:rsidRPr="005E7CE2" w:rsidRDefault="0069613F" w:rsidP="005E7CE2">
      <w:pPr>
        <w:numPr>
          <w:ilvl w:val="0"/>
          <w:numId w:val="4"/>
        </w:numPr>
        <w:spacing w:after="160" w:line="259" w:lineRule="auto"/>
        <w:contextualSpacing/>
        <w:jc w:val="both"/>
      </w:pPr>
      <w:r w:rsidRPr="005E7CE2">
        <w:t xml:space="preserve">Operational Plan </w:t>
      </w:r>
    </w:p>
    <w:p w14:paraId="7C6126C4" w14:textId="77777777" w:rsidR="005E7CE2" w:rsidRPr="005E7CE2" w:rsidRDefault="0069613F" w:rsidP="005E7CE2">
      <w:pPr>
        <w:numPr>
          <w:ilvl w:val="0"/>
          <w:numId w:val="4"/>
        </w:numPr>
        <w:spacing w:after="160" w:line="259" w:lineRule="auto"/>
        <w:contextualSpacing/>
        <w:jc w:val="both"/>
      </w:pPr>
      <w:r w:rsidRPr="005E7CE2">
        <w:t xml:space="preserve">Operational Performance Targets </w:t>
      </w:r>
    </w:p>
    <w:p w14:paraId="36192C5B" w14:textId="77777777" w:rsidR="005E7CE2" w:rsidRPr="005E7CE2" w:rsidRDefault="0069613F" w:rsidP="005E7CE2">
      <w:pPr>
        <w:numPr>
          <w:ilvl w:val="0"/>
          <w:numId w:val="4"/>
        </w:numPr>
        <w:spacing w:after="160" w:line="259" w:lineRule="auto"/>
        <w:contextualSpacing/>
        <w:jc w:val="both"/>
      </w:pPr>
      <w:r w:rsidRPr="005E7CE2">
        <w:t xml:space="preserve">Recyclates &amp; Offtake Plan </w:t>
      </w:r>
    </w:p>
    <w:p w14:paraId="7EC78256" w14:textId="77777777" w:rsidR="005E7CE2" w:rsidRPr="005E7CE2" w:rsidRDefault="0069613F" w:rsidP="005E7CE2">
      <w:pPr>
        <w:numPr>
          <w:ilvl w:val="0"/>
          <w:numId w:val="4"/>
        </w:numPr>
        <w:spacing w:after="160" w:line="259" w:lineRule="auto"/>
        <w:contextualSpacing/>
        <w:jc w:val="both"/>
      </w:pPr>
      <w:r w:rsidRPr="005E7CE2">
        <w:t xml:space="preserve">Annual Maintenance Plan </w:t>
      </w:r>
    </w:p>
    <w:p w14:paraId="46E010EE" w14:textId="77777777" w:rsidR="005E7CE2" w:rsidRPr="005E7CE2" w:rsidRDefault="0069613F" w:rsidP="005E7CE2">
      <w:pPr>
        <w:numPr>
          <w:ilvl w:val="0"/>
          <w:numId w:val="4"/>
        </w:numPr>
        <w:spacing w:after="160" w:line="259" w:lineRule="auto"/>
        <w:contextualSpacing/>
        <w:jc w:val="both"/>
      </w:pPr>
      <w:r w:rsidRPr="005E7CE2">
        <w:t xml:space="preserve">Annual Lifecycle Plan </w:t>
      </w:r>
    </w:p>
    <w:p w14:paraId="1CF665B0" w14:textId="77777777" w:rsidR="005E7CE2" w:rsidRPr="005E7CE2" w:rsidRDefault="0069613F" w:rsidP="005E7CE2">
      <w:pPr>
        <w:numPr>
          <w:ilvl w:val="0"/>
          <w:numId w:val="4"/>
        </w:numPr>
        <w:spacing w:after="160" w:line="259" w:lineRule="auto"/>
        <w:contextualSpacing/>
        <w:jc w:val="both"/>
      </w:pPr>
      <w:r w:rsidRPr="005E7CE2">
        <w:t xml:space="preserve">Annual Budget Proposal (the Fees) </w:t>
      </w:r>
    </w:p>
    <w:p w14:paraId="33A7C1A4" w14:textId="77777777" w:rsidR="005E7CE2" w:rsidRPr="005E7CE2" w:rsidRDefault="0069613F" w:rsidP="005E7CE2">
      <w:pPr>
        <w:numPr>
          <w:ilvl w:val="0"/>
          <w:numId w:val="4"/>
        </w:numPr>
        <w:spacing w:after="160" w:line="259" w:lineRule="auto"/>
        <w:contextualSpacing/>
        <w:jc w:val="both"/>
      </w:pPr>
      <w:r w:rsidRPr="005E7CE2">
        <w:t>Key Financial Targets</w:t>
      </w:r>
    </w:p>
    <w:p w14:paraId="45BC8CF7" w14:textId="77777777" w:rsidR="005E7CE2" w:rsidRPr="005E7CE2" w:rsidRDefault="0069613F" w:rsidP="005E7CE2">
      <w:pPr>
        <w:numPr>
          <w:ilvl w:val="0"/>
          <w:numId w:val="4"/>
        </w:numPr>
        <w:spacing w:after="160" w:line="259" w:lineRule="auto"/>
        <w:contextualSpacing/>
        <w:jc w:val="both"/>
      </w:pPr>
      <w:r w:rsidRPr="005E7CE2">
        <w:t xml:space="preserve">Business Development (Waste Processing Strategy) </w:t>
      </w:r>
    </w:p>
    <w:p w14:paraId="6D78B825" w14:textId="77777777" w:rsidR="005E7CE2" w:rsidRPr="005E7CE2" w:rsidRDefault="0069613F" w:rsidP="005E7CE2">
      <w:pPr>
        <w:numPr>
          <w:ilvl w:val="0"/>
          <w:numId w:val="4"/>
        </w:numPr>
        <w:spacing w:after="160" w:line="259" w:lineRule="auto"/>
        <w:contextualSpacing/>
        <w:jc w:val="both"/>
        <w:rPr>
          <w:rFonts w:cs="Calibri"/>
          <w:bCs/>
        </w:rPr>
      </w:pPr>
      <w:r w:rsidRPr="005E7CE2">
        <w:t>Fire Prevention Plan</w:t>
      </w:r>
    </w:p>
    <w:p w14:paraId="45354A79" w14:textId="77777777" w:rsidR="00A40F98" w:rsidRDefault="00A40F98" w:rsidP="005E7CE2">
      <w:pPr>
        <w:jc w:val="both"/>
        <w:rPr>
          <w:rFonts w:cs="Calibri"/>
          <w:b/>
          <w:szCs w:val="24"/>
        </w:rPr>
      </w:pPr>
    </w:p>
    <w:p w14:paraId="5D34525B" w14:textId="77777777" w:rsidR="00E05414" w:rsidRDefault="00E05414" w:rsidP="005E7CE2">
      <w:pPr>
        <w:jc w:val="both"/>
        <w:rPr>
          <w:rFonts w:cs="Calibri"/>
          <w:b/>
          <w:szCs w:val="24"/>
        </w:rPr>
      </w:pPr>
    </w:p>
    <w:p w14:paraId="5E591CC9" w14:textId="77777777" w:rsidR="00E05414" w:rsidRDefault="00E05414" w:rsidP="005E7CE2">
      <w:pPr>
        <w:jc w:val="both"/>
        <w:rPr>
          <w:rFonts w:cs="Calibri"/>
          <w:b/>
          <w:szCs w:val="24"/>
        </w:rPr>
      </w:pPr>
    </w:p>
    <w:p w14:paraId="1FBAD560" w14:textId="77777777" w:rsidR="00E05414" w:rsidRDefault="00E05414" w:rsidP="005E7CE2">
      <w:pPr>
        <w:jc w:val="both"/>
        <w:rPr>
          <w:rFonts w:cs="Calibri"/>
          <w:b/>
          <w:szCs w:val="24"/>
        </w:rPr>
      </w:pPr>
    </w:p>
    <w:p w14:paraId="4B3D4A2B" w14:textId="1BB23C2A" w:rsidR="005E7CE2" w:rsidRPr="005E7CE2" w:rsidRDefault="0069613F" w:rsidP="005E7CE2">
      <w:pPr>
        <w:jc w:val="both"/>
        <w:rPr>
          <w:rFonts w:cs="Calibri"/>
          <w:b/>
          <w:szCs w:val="24"/>
        </w:rPr>
      </w:pPr>
      <w:r w:rsidRPr="005E7CE2">
        <w:rPr>
          <w:rFonts w:cs="Calibri"/>
          <w:b/>
          <w:szCs w:val="24"/>
        </w:rPr>
        <w:t>LCC Partnership &amp; Strategy</w:t>
      </w:r>
    </w:p>
    <w:p w14:paraId="09532EAA" w14:textId="77777777" w:rsidR="005E7CE2" w:rsidRPr="005E7CE2" w:rsidRDefault="005E7CE2" w:rsidP="005E7CE2">
      <w:pPr>
        <w:autoSpaceDE w:val="0"/>
        <w:autoSpaceDN w:val="0"/>
        <w:adjustRightInd w:val="0"/>
        <w:jc w:val="both"/>
        <w:rPr>
          <w:rFonts w:cs="Calibri"/>
        </w:rPr>
      </w:pPr>
    </w:p>
    <w:p w14:paraId="5731D778" w14:textId="28CF575C" w:rsidR="005E7CE2" w:rsidRPr="005E7CE2" w:rsidRDefault="0069613F" w:rsidP="005E7CE2">
      <w:pPr>
        <w:autoSpaceDE w:val="0"/>
        <w:autoSpaceDN w:val="0"/>
        <w:adjustRightInd w:val="0"/>
        <w:jc w:val="both"/>
        <w:rPr>
          <w:rFonts w:cs="Calibri"/>
        </w:rPr>
      </w:pPr>
      <w:r w:rsidRPr="005E7CE2">
        <w:rPr>
          <w:rFonts w:cs="Calibri"/>
        </w:rPr>
        <w:t xml:space="preserve">Officers of the company will continue to work in collaboration and partnership with the county councils waste services and focus on delivering the strategy initiatives as </w:t>
      </w:r>
      <w:r w:rsidRPr="005E7CE2">
        <w:rPr>
          <w:rFonts w:cs="Calibri"/>
        </w:rPr>
        <w:lastRenderedPageBreak/>
        <w:t xml:space="preserve">presented below will provide key focus areas for the next contract year; as set out in </w:t>
      </w:r>
      <w:r w:rsidRPr="005E7CE2">
        <w:rPr>
          <w:rFonts w:cs="Calibri"/>
          <w:b/>
          <w:bCs/>
        </w:rPr>
        <w:t>Table 1</w:t>
      </w:r>
      <w:r w:rsidRPr="005E7CE2">
        <w:rPr>
          <w:rFonts w:cs="Calibri"/>
        </w:rPr>
        <w:t xml:space="preserve"> below.</w:t>
      </w:r>
    </w:p>
    <w:p w14:paraId="2E23FAC6" w14:textId="13BEEF41" w:rsidR="005E7CE2" w:rsidRDefault="005E7CE2" w:rsidP="005E7CE2">
      <w:pPr>
        <w:autoSpaceDE w:val="0"/>
        <w:autoSpaceDN w:val="0"/>
        <w:adjustRightInd w:val="0"/>
        <w:jc w:val="both"/>
        <w:rPr>
          <w:rFonts w:cs="Arial"/>
          <w:bCs/>
          <w:szCs w:val="24"/>
        </w:rPr>
      </w:pPr>
    </w:p>
    <w:p w14:paraId="1EED4FC8" w14:textId="77777777" w:rsidR="0029019D" w:rsidRPr="005E7CE2" w:rsidRDefault="0029019D" w:rsidP="005E7CE2">
      <w:pPr>
        <w:autoSpaceDE w:val="0"/>
        <w:autoSpaceDN w:val="0"/>
        <w:adjustRightInd w:val="0"/>
        <w:jc w:val="both"/>
        <w:rPr>
          <w:rFonts w:cs="Arial"/>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909"/>
        <w:gridCol w:w="3199"/>
      </w:tblGrid>
      <w:tr w:rsidR="0020057A" w14:paraId="017C5B3F" w14:textId="77777777" w:rsidTr="00971DDF">
        <w:tc>
          <w:tcPr>
            <w:tcW w:w="2858" w:type="dxa"/>
            <w:shd w:val="clear" w:color="auto" w:fill="auto"/>
          </w:tcPr>
          <w:p w14:paraId="35585226" w14:textId="77777777" w:rsidR="005E7CE2" w:rsidRPr="005E7CE2" w:rsidRDefault="0069613F" w:rsidP="005E7CE2">
            <w:pPr>
              <w:autoSpaceDE w:val="0"/>
              <w:autoSpaceDN w:val="0"/>
              <w:adjustRightInd w:val="0"/>
              <w:rPr>
                <w:rFonts w:cs="Arial"/>
                <w:b/>
                <w:bCs/>
              </w:rPr>
            </w:pPr>
            <w:r w:rsidRPr="005E7CE2">
              <w:rPr>
                <w:rFonts w:cs="Arial"/>
                <w:b/>
                <w:bCs/>
              </w:rPr>
              <w:t>Strategy Initiatives</w:t>
            </w:r>
          </w:p>
        </w:tc>
        <w:tc>
          <w:tcPr>
            <w:tcW w:w="2966" w:type="dxa"/>
            <w:shd w:val="clear" w:color="auto" w:fill="auto"/>
          </w:tcPr>
          <w:p w14:paraId="18545BF1" w14:textId="77777777" w:rsidR="005E7CE2" w:rsidRPr="005E7CE2" w:rsidRDefault="0069613F" w:rsidP="005E7CE2">
            <w:pPr>
              <w:autoSpaceDE w:val="0"/>
              <w:autoSpaceDN w:val="0"/>
              <w:adjustRightInd w:val="0"/>
              <w:rPr>
                <w:rFonts w:cs="Arial"/>
                <w:b/>
                <w:bCs/>
              </w:rPr>
            </w:pPr>
            <w:r w:rsidRPr="005E7CE2">
              <w:rPr>
                <w:rFonts w:cs="Arial"/>
                <w:b/>
                <w:bCs/>
              </w:rPr>
              <w:t xml:space="preserve">Initiative Rationale </w:t>
            </w:r>
          </w:p>
        </w:tc>
        <w:tc>
          <w:tcPr>
            <w:tcW w:w="3248" w:type="dxa"/>
            <w:shd w:val="clear" w:color="auto" w:fill="auto"/>
          </w:tcPr>
          <w:p w14:paraId="7757E1BF" w14:textId="77777777" w:rsidR="005E7CE2" w:rsidRPr="005E7CE2" w:rsidRDefault="0069613F" w:rsidP="005E7CE2">
            <w:pPr>
              <w:autoSpaceDE w:val="0"/>
              <w:autoSpaceDN w:val="0"/>
              <w:adjustRightInd w:val="0"/>
              <w:rPr>
                <w:rFonts w:cs="Arial"/>
                <w:b/>
                <w:bCs/>
              </w:rPr>
            </w:pPr>
            <w:r w:rsidRPr="005E7CE2">
              <w:rPr>
                <w:rFonts w:cs="Arial"/>
                <w:b/>
                <w:bCs/>
              </w:rPr>
              <w:t>Initiative Objectives</w:t>
            </w:r>
          </w:p>
        </w:tc>
      </w:tr>
      <w:tr w:rsidR="0020057A" w14:paraId="74330EAE" w14:textId="77777777" w:rsidTr="00971DDF">
        <w:tc>
          <w:tcPr>
            <w:tcW w:w="2858" w:type="dxa"/>
            <w:shd w:val="clear" w:color="auto" w:fill="auto"/>
          </w:tcPr>
          <w:p w14:paraId="1AC520EF" w14:textId="77777777" w:rsidR="005E7CE2" w:rsidRPr="005E7CE2" w:rsidRDefault="0069613F" w:rsidP="005E7CE2">
            <w:pPr>
              <w:autoSpaceDE w:val="0"/>
              <w:autoSpaceDN w:val="0"/>
              <w:adjustRightInd w:val="0"/>
              <w:rPr>
                <w:rFonts w:cs="Arial"/>
              </w:rPr>
            </w:pPr>
            <w:r w:rsidRPr="005E7CE2">
              <w:rPr>
                <w:rFonts w:cs="Arial"/>
              </w:rPr>
              <w:t>Lancashire Waste Strategy</w:t>
            </w:r>
          </w:p>
        </w:tc>
        <w:tc>
          <w:tcPr>
            <w:tcW w:w="2966" w:type="dxa"/>
            <w:shd w:val="clear" w:color="auto" w:fill="auto"/>
          </w:tcPr>
          <w:p w14:paraId="178D2846" w14:textId="77777777" w:rsidR="005E7CE2" w:rsidRPr="005E7CE2" w:rsidRDefault="0069613F" w:rsidP="005E7CE2">
            <w:pPr>
              <w:autoSpaceDE w:val="0"/>
              <w:autoSpaceDN w:val="0"/>
              <w:adjustRightInd w:val="0"/>
              <w:rPr>
                <w:rFonts w:cs="Arial"/>
              </w:rPr>
            </w:pPr>
            <w:r w:rsidRPr="005E7CE2">
              <w:rPr>
                <w:rFonts w:cs="Arial"/>
              </w:rPr>
              <w:t>Legislation &amp; Policy Amendments (Env Act / Bill)</w:t>
            </w:r>
          </w:p>
        </w:tc>
        <w:tc>
          <w:tcPr>
            <w:tcW w:w="3248" w:type="dxa"/>
            <w:shd w:val="clear" w:color="auto" w:fill="auto"/>
          </w:tcPr>
          <w:p w14:paraId="0274ADCC" w14:textId="77777777" w:rsidR="00D978F9" w:rsidRDefault="0069613F" w:rsidP="005E7CE2">
            <w:pPr>
              <w:autoSpaceDE w:val="0"/>
              <w:autoSpaceDN w:val="0"/>
              <w:adjustRightInd w:val="0"/>
              <w:rPr>
                <w:rFonts w:cs="Arial"/>
              </w:rPr>
            </w:pPr>
            <w:r>
              <w:rPr>
                <w:rFonts w:cs="Arial"/>
              </w:rPr>
              <w:t>Undertake the necessary changes to the two waste treatment facilities in preparation of the future waste treatment operations commencing 01 April 2025.</w:t>
            </w:r>
          </w:p>
          <w:p w14:paraId="407D42F5" w14:textId="77777777" w:rsidR="00E05414" w:rsidRDefault="00E05414" w:rsidP="005E7CE2">
            <w:pPr>
              <w:autoSpaceDE w:val="0"/>
              <w:autoSpaceDN w:val="0"/>
              <w:adjustRightInd w:val="0"/>
              <w:rPr>
                <w:rFonts w:cs="Arial"/>
              </w:rPr>
            </w:pPr>
          </w:p>
          <w:p w14:paraId="0C5D1D18" w14:textId="5A78186F" w:rsidR="00D978F9" w:rsidRDefault="0069613F" w:rsidP="005E7CE2">
            <w:pPr>
              <w:autoSpaceDE w:val="0"/>
              <w:autoSpaceDN w:val="0"/>
              <w:adjustRightInd w:val="0"/>
              <w:rPr>
                <w:rFonts w:cs="Arial"/>
              </w:rPr>
            </w:pPr>
            <w:r>
              <w:rPr>
                <w:rFonts w:cs="Arial"/>
              </w:rPr>
              <w:t>Commence with changes to the organisational structure in support of the future waste treatment operations commencing 01 April 2025</w:t>
            </w:r>
            <w:r w:rsidR="0041408B">
              <w:rPr>
                <w:rFonts w:cs="Arial"/>
              </w:rPr>
              <w:t>,</w:t>
            </w:r>
            <w:r>
              <w:rPr>
                <w:rFonts w:cs="Arial"/>
              </w:rPr>
              <w:t xml:space="preserve"> and in support of the </w:t>
            </w:r>
            <w:r w:rsidR="006753DF">
              <w:rPr>
                <w:rFonts w:cs="Arial"/>
              </w:rPr>
              <w:t>two-year</w:t>
            </w:r>
            <w:r>
              <w:rPr>
                <w:rFonts w:cs="Arial"/>
              </w:rPr>
              <w:t xml:space="preserve"> mobilisation and preparation programme of work.</w:t>
            </w:r>
          </w:p>
          <w:p w14:paraId="512CC811" w14:textId="77777777" w:rsidR="00D978F9" w:rsidRDefault="00D978F9" w:rsidP="005E7CE2">
            <w:pPr>
              <w:autoSpaceDE w:val="0"/>
              <w:autoSpaceDN w:val="0"/>
              <w:adjustRightInd w:val="0"/>
              <w:rPr>
                <w:rFonts w:cs="Arial"/>
              </w:rPr>
            </w:pPr>
          </w:p>
          <w:p w14:paraId="66A9B29C" w14:textId="212F06E5" w:rsidR="00D978F9" w:rsidRDefault="0069613F" w:rsidP="005E7CE2">
            <w:pPr>
              <w:autoSpaceDE w:val="0"/>
              <w:autoSpaceDN w:val="0"/>
              <w:adjustRightInd w:val="0"/>
              <w:rPr>
                <w:rFonts w:cs="Arial"/>
              </w:rPr>
            </w:pPr>
            <w:r>
              <w:rPr>
                <w:rFonts w:cs="Arial"/>
              </w:rPr>
              <w:t xml:space="preserve">Commencement of procurement initiatives in support of the future waste treatment </w:t>
            </w:r>
            <w:r w:rsidR="00E05414">
              <w:rPr>
                <w:rFonts w:cs="Arial"/>
              </w:rPr>
              <w:t xml:space="preserve">and haulage </w:t>
            </w:r>
            <w:r>
              <w:rPr>
                <w:rFonts w:cs="Arial"/>
              </w:rPr>
              <w:t xml:space="preserve">operations commencing 01 April 2025. </w:t>
            </w:r>
          </w:p>
          <w:p w14:paraId="3610A559" w14:textId="77777777" w:rsidR="009756A2" w:rsidRDefault="009756A2" w:rsidP="005E7CE2">
            <w:pPr>
              <w:autoSpaceDE w:val="0"/>
              <w:autoSpaceDN w:val="0"/>
              <w:adjustRightInd w:val="0"/>
              <w:rPr>
                <w:rFonts w:cs="Arial"/>
              </w:rPr>
            </w:pPr>
          </w:p>
          <w:p w14:paraId="33C1BC26" w14:textId="27B325D2" w:rsidR="009756A2" w:rsidRDefault="0069613F" w:rsidP="005E7CE2">
            <w:pPr>
              <w:autoSpaceDE w:val="0"/>
              <w:autoSpaceDN w:val="0"/>
              <w:adjustRightInd w:val="0"/>
              <w:rPr>
                <w:rFonts w:cs="Arial"/>
              </w:rPr>
            </w:pPr>
            <w:r>
              <w:rPr>
                <w:rFonts w:cs="Arial"/>
              </w:rPr>
              <w:t xml:space="preserve">Respond to </w:t>
            </w:r>
            <w:r w:rsidR="00E05414">
              <w:rPr>
                <w:rFonts w:cs="Arial"/>
              </w:rPr>
              <w:t>emerging l</w:t>
            </w:r>
            <w:r w:rsidR="00E05414" w:rsidRPr="005E7CE2">
              <w:rPr>
                <w:rFonts w:cs="Arial"/>
              </w:rPr>
              <w:t xml:space="preserve">egislation &amp; </w:t>
            </w:r>
            <w:r w:rsidR="00E05414">
              <w:rPr>
                <w:rFonts w:cs="Arial"/>
              </w:rPr>
              <w:t>p</w:t>
            </w:r>
            <w:r w:rsidR="00E05414" w:rsidRPr="005E7CE2">
              <w:rPr>
                <w:rFonts w:cs="Arial"/>
              </w:rPr>
              <w:t xml:space="preserve">olicy </w:t>
            </w:r>
            <w:r>
              <w:rPr>
                <w:rFonts w:cs="Arial"/>
              </w:rPr>
              <w:t xml:space="preserve">matters as they arise following consultation with the county councils waste management </w:t>
            </w:r>
            <w:r w:rsidR="00E05414">
              <w:rPr>
                <w:rFonts w:cs="Arial"/>
              </w:rPr>
              <w:t>officers,</w:t>
            </w:r>
            <w:r>
              <w:rPr>
                <w:rFonts w:cs="Arial"/>
              </w:rPr>
              <w:t xml:space="preserve"> subject to Board approval.</w:t>
            </w:r>
          </w:p>
          <w:p w14:paraId="1D4ED44B" w14:textId="07F4885A" w:rsidR="005E7CE2" w:rsidRPr="005E7CE2" w:rsidRDefault="005E7CE2" w:rsidP="005E7CE2">
            <w:pPr>
              <w:autoSpaceDE w:val="0"/>
              <w:autoSpaceDN w:val="0"/>
              <w:adjustRightInd w:val="0"/>
              <w:rPr>
                <w:rFonts w:cs="Arial"/>
              </w:rPr>
            </w:pPr>
          </w:p>
        </w:tc>
      </w:tr>
      <w:tr w:rsidR="0020057A" w14:paraId="165AF6F8" w14:textId="77777777" w:rsidTr="00971DDF">
        <w:tc>
          <w:tcPr>
            <w:tcW w:w="2858" w:type="dxa"/>
            <w:shd w:val="clear" w:color="auto" w:fill="auto"/>
          </w:tcPr>
          <w:p w14:paraId="65C73211" w14:textId="77777777" w:rsidR="005E7CE2" w:rsidRPr="005E7CE2" w:rsidRDefault="0069613F" w:rsidP="005E7CE2">
            <w:pPr>
              <w:autoSpaceDE w:val="0"/>
              <w:autoSpaceDN w:val="0"/>
              <w:adjustRightInd w:val="0"/>
              <w:rPr>
                <w:rFonts w:cs="Arial"/>
              </w:rPr>
            </w:pPr>
            <w:r w:rsidRPr="005E7CE2">
              <w:rPr>
                <w:rFonts w:cs="Arial"/>
              </w:rPr>
              <w:t>Risk Management Programme</w:t>
            </w:r>
          </w:p>
          <w:p w14:paraId="25D89A5B" w14:textId="77777777" w:rsidR="005E7CE2" w:rsidRPr="005E7CE2" w:rsidRDefault="005E7CE2" w:rsidP="005E7CE2">
            <w:pPr>
              <w:autoSpaceDE w:val="0"/>
              <w:autoSpaceDN w:val="0"/>
              <w:adjustRightInd w:val="0"/>
              <w:rPr>
                <w:rFonts w:cs="Arial"/>
              </w:rPr>
            </w:pPr>
          </w:p>
          <w:p w14:paraId="01A66948" w14:textId="77777777" w:rsidR="005E7CE2" w:rsidRPr="005E7CE2" w:rsidRDefault="005E7CE2" w:rsidP="005E7CE2">
            <w:pPr>
              <w:autoSpaceDE w:val="0"/>
              <w:autoSpaceDN w:val="0"/>
              <w:adjustRightInd w:val="0"/>
              <w:rPr>
                <w:rFonts w:cs="Arial"/>
              </w:rPr>
            </w:pPr>
          </w:p>
          <w:p w14:paraId="6821A8ED" w14:textId="77777777" w:rsidR="005E7CE2" w:rsidRPr="005E7CE2" w:rsidRDefault="005E7CE2" w:rsidP="005E7CE2">
            <w:pPr>
              <w:autoSpaceDE w:val="0"/>
              <w:autoSpaceDN w:val="0"/>
              <w:adjustRightInd w:val="0"/>
              <w:rPr>
                <w:rFonts w:cs="Arial"/>
              </w:rPr>
            </w:pPr>
          </w:p>
        </w:tc>
        <w:tc>
          <w:tcPr>
            <w:tcW w:w="2966" w:type="dxa"/>
            <w:shd w:val="clear" w:color="auto" w:fill="auto"/>
          </w:tcPr>
          <w:p w14:paraId="6E5A67A9" w14:textId="77777777" w:rsidR="005E7CE2" w:rsidRPr="005E7CE2" w:rsidRDefault="0069613F" w:rsidP="005E7CE2">
            <w:pPr>
              <w:autoSpaceDE w:val="0"/>
              <w:autoSpaceDN w:val="0"/>
              <w:adjustRightInd w:val="0"/>
              <w:rPr>
                <w:rFonts w:cs="Arial"/>
              </w:rPr>
            </w:pPr>
            <w:r w:rsidRPr="005E7CE2">
              <w:rPr>
                <w:rFonts w:cs="Arial"/>
              </w:rPr>
              <w:t>Risk reduction and mitigation.</w:t>
            </w:r>
          </w:p>
        </w:tc>
        <w:tc>
          <w:tcPr>
            <w:tcW w:w="3248" w:type="dxa"/>
            <w:shd w:val="clear" w:color="auto" w:fill="auto"/>
          </w:tcPr>
          <w:p w14:paraId="1D47A25A" w14:textId="4B1F8C7B" w:rsidR="005E7CE2" w:rsidRPr="005E7CE2" w:rsidRDefault="0069613F" w:rsidP="005E7CE2">
            <w:pPr>
              <w:autoSpaceDE w:val="0"/>
              <w:autoSpaceDN w:val="0"/>
              <w:adjustRightInd w:val="0"/>
              <w:rPr>
                <w:rFonts w:cs="Arial"/>
              </w:rPr>
            </w:pPr>
            <w:r>
              <w:rPr>
                <w:rFonts w:cs="Arial"/>
              </w:rPr>
              <w:t>Continue with the d</w:t>
            </w:r>
            <w:r w:rsidR="00A40F98" w:rsidRPr="005E7CE2">
              <w:rPr>
                <w:rFonts w:cs="Arial"/>
              </w:rPr>
              <w:t xml:space="preserve">elivery of the </w:t>
            </w:r>
            <w:r>
              <w:rPr>
                <w:rFonts w:cs="Arial"/>
              </w:rPr>
              <w:t xml:space="preserve">medium-term </w:t>
            </w:r>
            <w:r w:rsidR="00A40F98" w:rsidRPr="005E7CE2">
              <w:rPr>
                <w:rFonts w:cs="Arial"/>
              </w:rPr>
              <w:t>loss prevention programme recommendations.</w:t>
            </w:r>
          </w:p>
          <w:p w14:paraId="602C1628" w14:textId="77777777" w:rsidR="005E7CE2" w:rsidRPr="005E7CE2" w:rsidRDefault="0069613F" w:rsidP="005E7CE2">
            <w:pPr>
              <w:autoSpaceDE w:val="0"/>
              <w:autoSpaceDN w:val="0"/>
              <w:adjustRightInd w:val="0"/>
              <w:rPr>
                <w:rFonts w:cs="Arial"/>
              </w:rPr>
            </w:pPr>
            <w:r w:rsidRPr="005E7CE2">
              <w:rPr>
                <w:rFonts w:cs="Arial"/>
              </w:rPr>
              <w:t>(OPEX / CAPEX)</w:t>
            </w:r>
          </w:p>
        </w:tc>
      </w:tr>
      <w:tr w:rsidR="0020057A" w14:paraId="60826A74" w14:textId="77777777" w:rsidTr="00971DDF">
        <w:tc>
          <w:tcPr>
            <w:tcW w:w="2858" w:type="dxa"/>
            <w:shd w:val="clear" w:color="auto" w:fill="auto"/>
          </w:tcPr>
          <w:p w14:paraId="3AC133ED" w14:textId="77777777" w:rsidR="005E7CE2" w:rsidRPr="005E7CE2" w:rsidRDefault="0069613F" w:rsidP="005E7CE2">
            <w:pPr>
              <w:autoSpaceDE w:val="0"/>
              <w:autoSpaceDN w:val="0"/>
              <w:adjustRightInd w:val="0"/>
              <w:rPr>
                <w:rFonts w:cs="Arial"/>
              </w:rPr>
            </w:pPr>
            <w:r w:rsidRPr="005E7CE2">
              <w:rPr>
                <w:rFonts w:cs="Arial"/>
              </w:rPr>
              <w:t>Energy Management Programme</w:t>
            </w:r>
          </w:p>
          <w:p w14:paraId="20F1EEE8" w14:textId="77777777" w:rsidR="005E7CE2" w:rsidRPr="005E7CE2" w:rsidRDefault="005E7CE2" w:rsidP="005E7CE2">
            <w:pPr>
              <w:autoSpaceDE w:val="0"/>
              <w:autoSpaceDN w:val="0"/>
              <w:adjustRightInd w:val="0"/>
              <w:rPr>
                <w:rFonts w:cs="Arial"/>
              </w:rPr>
            </w:pPr>
          </w:p>
          <w:p w14:paraId="7C66EBA8" w14:textId="77777777" w:rsidR="005E7CE2" w:rsidRPr="005E7CE2" w:rsidRDefault="005E7CE2" w:rsidP="005E7CE2">
            <w:pPr>
              <w:autoSpaceDE w:val="0"/>
              <w:autoSpaceDN w:val="0"/>
              <w:adjustRightInd w:val="0"/>
              <w:rPr>
                <w:rFonts w:cs="Arial"/>
              </w:rPr>
            </w:pPr>
          </w:p>
        </w:tc>
        <w:tc>
          <w:tcPr>
            <w:tcW w:w="2966" w:type="dxa"/>
            <w:shd w:val="clear" w:color="auto" w:fill="auto"/>
          </w:tcPr>
          <w:p w14:paraId="136B80C6" w14:textId="77777777" w:rsidR="005E7CE2" w:rsidRPr="005E7CE2" w:rsidRDefault="0069613F" w:rsidP="005E7CE2">
            <w:pPr>
              <w:autoSpaceDE w:val="0"/>
              <w:autoSpaceDN w:val="0"/>
              <w:adjustRightInd w:val="0"/>
              <w:rPr>
                <w:rFonts w:cs="Arial"/>
              </w:rPr>
            </w:pPr>
            <w:r w:rsidRPr="005E7CE2">
              <w:rPr>
                <w:rFonts w:cs="Arial"/>
              </w:rPr>
              <w:t xml:space="preserve">Environmental impacts, climate change, sustainability, and cost reduction. </w:t>
            </w:r>
          </w:p>
        </w:tc>
        <w:tc>
          <w:tcPr>
            <w:tcW w:w="3248" w:type="dxa"/>
            <w:shd w:val="clear" w:color="auto" w:fill="auto"/>
          </w:tcPr>
          <w:p w14:paraId="1E37DF68" w14:textId="77777777" w:rsidR="005E7CE2" w:rsidRPr="005E7CE2" w:rsidRDefault="0069613F" w:rsidP="005E7CE2">
            <w:pPr>
              <w:autoSpaceDE w:val="0"/>
              <w:autoSpaceDN w:val="0"/>
              <w:adjustRightInd w:val="0"/>
              <w:rPr>
                <w:rFonts w:cs="Arial"/>
              </w:rPr>
            </w:pPr>
            <w:r w:rsidRPr="005E7CE2">
              <w:rPr>
                <w:rFonts w:cs="Arial"/>
              </w:rPr>
              <w:t>Delivery of the energy management programme and the associated project activities.</w:t>
            </w:r>
          </w:p>
        </w:tc>
      </w:tr>
      <w:tr w:rsidR="0020057A" w14:paraId="6E7698EF" w14:textId="77777777" w:rsidTr="00971DDF">
        <w:tc>
          <w:tcPr>
            <w:tcW w:w="2858" w:type="dxa"/>
            <w:shd w:val="clear" w:color="auto" w:fill="auto"/>
          </w:tcPr>
          <w:p w14:paraId="063ABD89" w14:textId="77777777" w:rsidR="005E7CE2" w:rsidRPr="005E7CE2" w:rsidRDefault="0069613F" w:rsidP="005E7CE2">
            <w:pPr>
              <w:autoSpaceDE w:val="0"/>
              <w:autoSpaceDN w:val="0"/>
              <w:adjustRightInd w:val="0"/>
              <w:rPr>
                <w:rFonts w:cs="Arial"/>
              </w:rPr>
            </w:pPr>
            <w:r w:rsidRPr="005E7CE2">
              <w:rPr>
                <w:rFonts w:cs="Arial"/>
              </w:rPr>
              <w:t>Direct Operating Cost Reduction</w:t>
            </w:r>
          </w:p>
          <w:p w14:paraId="1685D8A2" w14:textId="77777777" w:rsidR="005E7CE2" w:rsidRPr="005E7CE2" w:rsidRDefault="005E7CE2" w:rsidP="005E7CE2">
            <w:pPr>
              <w:autoSpaceDE w:val="0"/>
              <w:autoSpaceDN w:val="0"/>
              <w:adjustRightInd w:val="0"/>
              <w:rPr>
                <w:rFonts w:cs="Arial"/>
              </w:rPr>
            </w:pPr>
          </w:p>
          <w:p w14:paraId="27D48A9B" w14:textId="77777777" w:rsidR="005E7CE2" w:rsidRPr="005E7CE2" w:rsidRDefault="005E7CE2" w:rsidP="005E7CE2">
            <w:pPr>
              <w:autoSpaceDE w:val="0"/>
              <w:autoSpaceDN w:val="0"/>
              <w:adjustRightInd w:val="0"/>
              <w:rPr>
                <w:rFonts w:cs="Arial"/>
              </w:rPr>
            </w:pPr>
          </w:p>
        </w:tc>
        <w:tc>
          <w:tcPr>
            <w:tcW w:w="2966" w:type="dxa"/>
            <w:shd w:val="clear" w:color="auto" w:fill="auto"/>
          </w:tcPr>
          <w:p w14:paraId="1FD6284A" w14:textId="77777777" w:rsidR="005E7CE2" w:rsidRPr="005E7CE2" w:rsidRDefault="0069613F" w:rsidP="005E7CE2">
            <w:pPr>
              <w:autoSpaceDE w:val="0"/>
              <w:autoSpaceDN w:val="0"/>
              <w:adjustRightInd w:val="0"/>
              <w:rPr>
                <w:rFonts w:cs="Arial"/>
              </w:rPr>
            </w:pPr>
            <w:r w:rsidRPr="005E7CE2">
              <w:rPr>
                <w:rFonts w:cs="Arial"/>
              </w:rPr>
              <w:t>Operating cost reduction.</w:t>
            </w:r>
          </w:p>
        </w:tc>
        <w:tc>
          <w:tcPr>
            <w:tcW w:w="3248" w:type="dxa"/>
            <w:shd w:val="clear" w:color="auto" w:fill="auto"/>
          </w:tcPr>
          <w:p w14:paraId="75D45966" w14:textId="560826C2" w:rsidR="005E7CE2" w:rsidRPr="005E7CE2" w:rsidRDefault="0069613F" w:rsidP="005E7CE2">
            <w:pPr>
              <w:autoSpaceDE w:val="0"/>
              <w:autoSpaceDN w:val="0"/>
              <w:adjustRightInd w:val="0"/>
              <w:rPr>
                <w:rFonts w:cs="Arial"/>
              </w:rPr>
            </w:pPr>
            <w:r w:rsidRPr="005E7CE2">
              <w:rPr>
                <w:rFonts w:cs="Arial"/>
              </w:rPr>
              <w:t>Identification and delivery of cost saving project activities.</w:t>
            </w:r>
          </w:p>
        </w:tc>
      </w:tr>
    </w:tbl>
    <w:p w14:paraId="56D604D4" w14:textId="3807E5D0" w:rsidR="005E7CE2" w:rsidRPr="005E7CE2" w:rsidRDefault="0069613F" w:rsidP="006753DF">
      <w:pPr>
        <w:ind w:left="7200" w:firstLine="720"/>
        <w:rPr>
          <w:rFonts w:cs="Calibri"/>
          <w:b/>
          <w:bCs/>
        </w:rPr>
      </w:pPr>
      <w:r w:rsidRPr="005E7CE2">
        <w:rPr>
          <w:rFonts w:cs="Calibri"/>
          <w:b/>
          <w:bCs/>
        </w:rPr>
        <w:lastRenderedPageBreak/>
        <w:t xml:space="preserve"> </w:t>
      </w:r>
      <w:r w:rsidR="006753DF">
        <w:rPr>
          <w:rFonts w:cs="Calibri"/>
          <w:b/>
          <w:bCs/>
        </w:rPr>
        <w:t xml:space="preserve">   </w:t>
      </w:r>
      <w:r w:rsidRPr="005E7CE2">
        <w:rPr>
          <w:rFonts w:cs="Calibri"/>
          <w:b/>
          <w:bCs/>
        </w:rPr>
        <w:t>Table 1</w:t>
      </w:r>
    </w:p>
    <w:p w14:paraId="6B842A88" w14:textId="77777777" w:rsidR="005E7CE2" w:rsidRPr="005E7CE2" w:rsidRDefault="005E7CE2" w:rsidP="005E7CE2">
      <w:pPr>
        <w:rPr>
          <w:b/>
        </w:rPr>
      </w:pPr>
    </w:p>
    <w:p w14:paraId="4860845D" w14:textId="77777777" w:rsidR="005E7CE2" w:rsidRPr="005E7CE2" w:rsidRDefault="0069613F" w:rsidP="005E7CE2">
      <w:pPr>
        <w:jc w:val="both"/>
      </w:pPr>
      <w:r w:rsidRPr="005E7CE2">
        <w:rPr>
          <w:b/>
          <w:bCs/>
        </w:rPr>
        <w:t xml:space="preserve">Lancashire County Council Ownership: </w:t>
      </w:r>
      <w:r w:rsidRPr="005E7CE2">
        <w:t>Lancashire County Council owns 87.5% of the shares in this company.</w:t>
      </w:r>
    </w:p>
    <w:p w14:paraId="39C2BF6C" w14:textId="77777777" w:rsidR="005E7CE2" w:rsidRPr="005E7CE2" w:rsidRDefault="005E7CE2" w:rsidP="005E7CE2">
      <w:pPr>
        <w:rPr>
          <w:b/>
        </w:rPr>
      </w:pPr>
    </w:p>
    <w:p w14:paraId="7F3671B1" w14:textId="77777777" w:rsidR="005E7CE2" w:rsidRPr="005E7CE2" w:rsidRDefault="0069613F" w:rsidP="005E7CE2">
      <w:pPr>
        <w:jc w:val="both"/>
        <w:rPr>
          <w:bCs/>
        </w:rPr>
      </w:pPr>
      <w:r w:rsidRPr="005E7CE2">
        <w:rPr>
          <w:b/>
        </w:rPr>
        <w:t xml:space="preserve">Conclusions relating to going concern status:  </w:t>
      </w:r>
      <w:r w:rsidRPr="005E7CE2">
        <w:rPr>
          <w:bCs/>
        </w:rPr>
        <w:t>No status issues raised by the company auditors.</w:t>
      </w:r>
    </w:p>
    <w:p w14:paraId="66B47CDF" w14:textId="77777777" w:rsidR="005E7CE2" w:rsidRPr="005E7CE2" w:rsidRDefault="005E7CE2" w:rsidP="005E7CE2">
      <w:pPr>
        <w:jc w:val="both"/>
        <w:rPr>
          <w:bCs/>
        </w:rPr>
      </w:pPr>
    </w:p>
    <w:p w14:paraId="352774AB" w14:textId="641C2580" w:rsidR="005E7CE2" w:rsidRPr="005E7CE2" w:rsidRDefault="0069613F" w:rsidP="005E7CE2">
      <w:pPr>
        <w:jc w:val="both"/>
        <w:rPr>
          <w:bCs/>
        </w:rPr>
      </w:pPr>
      <w:r w:rsidRPr="005E7CE2">
        <w:rPr>
          <w:b/>
        </w:rPr>
        <w:t xml:space="preserve">Lancashire County Council Directors on the Board:  </w:t>
      </w:r>
      <w:r w:rsidRPr="005E7CE2">
        <w:rPr>
          <w:bCs/>
        </w:rPr>
        <w:t>Four County Councillors – S</w:t>
      </w:r>
      <w:r>
        <w:rPr>
          <w:bCs/>
        </w:rPr>
        <w:t>hau</w:t>
      </w:r>
      <w:r w:rsidR="009756A2">
        <w:rPr>
          <w:bCs/>
        </w:rPr>
        <w:t>n</w:t>
      </w:r>
      <w:r w:rsidRPr="005E7CE2">
        <w:rPr>
          <w:bCs/>
        </w:rPr>
        <w:t xml:space="preserve"> Turner</w:t>
      </w:r>
      <w:r>
        <w:rPr>
          <w:bCs/>
        </w:rPr>
        <w:t xml:space="preserve"> (Chairman)</w:t>
      </w:r>
      <w:r w:rsidRPr="005E7CE2">
        <w:rPr>
          <w:bCs/>
        </w:rPr>
        <w:t xml:space="preserve">, </w:t>
      </w:r>
      <w:r w:rsidR="0060580C">
        <w:rPr>
          <w:bCs/>
        </w:rPr>
        <w:t>Scott Smith</w:t>
      </w:r>
      <w:r w:rsidRPr="005E7CE2">
        <w:rPr>
          <w:bCs/>
        </w:rPr>
        <w:t>, Matthew Salter and Jackie Oakes.</w:t>
      </w:r>
    </w:p>
    <w:p w14:paraId="45B38F0D" w14:textId="77777777" w:rsidR="005E7CE2" w:rsidRPr="005E7CE2" w:rsidRDefault="005E7CE2" w:rsidP="005E7CE2">
      <w:pPr>
        <w:keepNext/>
        <w:outlineLvl w:val="0"/>
        <w:rPr>
          <w:b/>
        </w:rPr>
      </w:pPr>
    </w:p>
    <w:p w14:paraId="35D9D927" w14:textId="1483B1C7" w:rsidR="005E0391" w:rsidRPr="005E7CE2" w:rsidRDefault="0069613F" w:rsidP="005E7CE2">
      <w:r w:rsidRPr="005E7CE2">
        <w:rPr>
          <w:b/>
          <w:bCs/>
        </w:rPr>
        <w:t xml:space="preserve">Company Contact Details:  </w:t>
      </w:r>
      <w:r w:rsidRPr="005E7CE2">
        <w:t xml:space="preserve">Paul Brindle, General Manager, Lancashire Renewables Limited, </w:t>
      </w:r>
      <w:hyperlink r:id="rId5" w:history="1">
        <w:r w:rsidRPr="005E7CE2">
          <w:rPr>
            <w:color w:val="0563C1"/>
            <w:u w:val="single"/>
          </w:rPr>
          <w:t>paul.brindle@lancashirerenewables.co.uk</w:t>
        </w:r>
      </w:hyperlink>
      <w:r w:rsidRPr="005E7CE2">
        <w:t xml:space="preserve">  </w:t>
      </w:r>
    </w:p>
    <w:sectPr w:rsidR="005E0391" w:rsidRPr="005E7CE2" w:rsidSect="005E0391">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5F7"/>
    <w:multiLevelType w:val="hybridMultilevel"/>
    <w:tmpl w:val="FCFE39B2"/>
    <w:lvl w:ilvl="0" w:tplc="B9903CA6">
      <w:start w:val="1"/>
      <w:numFmt w:val="bullet"/>
      <w:lvlText w:val=""/>
      <w:lvlJc w:val="left"/>
      <w:pPr>
        <w:ind w:left="720" w:hanging="360"/>
      </w:pPr>
      <w:rPr>
        <w:rFonts w:ascii="Symbol" w:hAnsi="Symbol" w:hint="default"/>
      </w:rPr>
    </w:lvl>
    <w:lvl w:ilvl="1" w:tplc="F8462356" w:tentative="1">
      <w:start w:val="1"/>
      <w:numFmt w:val="bullet"/>
      <w:lvlText w:val="o"/>
      <w:lvlJc w:val="left"/>
      <w:pPr>
        <w:ind w:left="1440" w:hanging="360"/>
      </w:pPr>
      <w:rPr>
        <w:rFonts w:ascii="Courier New" w:hAnsi="Courier New" w:cs="Courier New" w:hint="default"/>
      </w:rPr>
    </w:lvl>
    <w:lvl w:ilvl="2" w:tplc="22F2F424" w:tentative="1">
      <w:start w:val="1"/>
      <w:numFmt w:val="bullet"/>
      <w:lvlText w:val=""/>
      <w:lvlJc w:val="left"/>
      <w:pPr>
        <w:ind w:left="2160" w:hanging="360"/>
      </w:pPr>
      <w:rPr>
        <w:rFonts w:ascii="Wingdings" w:hAnsi="Wingdings" w:hint="default"/>
      </w:rPr>
    </w:lvl>
    <w:lvl w:ilvl="3" w:tplc="D420800C" w:tentative="1">
      <w:start w:val="1"/>
      <w:numFmt w:val="bullet"/>
      <w:lvlText w:val=""/>
      <w:lvlJc w:val="left"/>
      <w:pPr>
        <w:ind w:left="2880" w:hanging="360"/>
      </w:pPr>
      <w:rPr>
        <w:rFonts w:ascii="Symbol" w:hAnsi="Symbol" w:hint="default"/>
      </w:rPr>
    </w:lvl>
    <w:lvl w:ilvl="4" w:tplc="A9A480FA" w:tentative="1">
      <w:start w:val="1"/>
      <w:numFmt w:val="bullet"/>
      <w:lvlText w:val="o"/>
      <w:lvlJc w:val="left"/>
      <w:pPr>
        <w:ind w:left="3600" w:hanging="360"/>
      </w:pPr>
      <w:rPr>
        <w:rFonts w:ascii="Courier New" w:hAnsi="Courier New" w:cs="Courier New" w:hint="default"/>
      </w:rPr>
    </w:lvl>
    <w:lvl w:ilvl="5" w:tplc="67FEE32E" w:tentative="1">
      <w:start w:val="1"/>
      <w:numFmt w:val="bullet"/>
      <w:lvlText w:val=""/>
      <w:lvlJc w:val="left"/>
      <w:pPr>
        <w:ind w:left="4320" w:hanging="360"/>
      </w:pPr>
      <w:rPr>
        <w:rFonts w:ascii="Wingdings" w:hAnsi="Wingdings" w:hint="default"/>
      </w:rPr>
    </w:lvl>
    <w:lvl w:ilvl="6" w:tplc="21065FF0" w:tentative="1">
      <w:start w:val="1"/>
      <w:numFmt w:val="bullet"/>
      <w:lvlText w:val=""/>
      <w:lvlJc w:val="left"/>
      <w:pPr>
        <w:ind w:left="5040" w:hanging="360"/>
      </w:pPr>
      <w:rPr>
        <w:rFonts w:ascii="Symbol" w:hAnsi="Symbol" w:hint="default"/>
      </w:rPr>
    </w:lvl>
    <w:lvl w:ilvl="7" w:tplc="0AAEF8F2" w:tentative="1">
      <w:start w:val="1"/>
      <w:numFmt w:val="bullet"/>
      <w:lvlText w:val="o"/>
      <w:lvlJc w:val="left"/>
      <w:pPr>
        <w:ind w:left="5760" w:hanging="360"/>
      </w:pPr>
      <w:rPr>
        <w:rFonts w:ascii="Courier New" w:hAnsi="Courier New" w:cs="Courier New" w:hint="default"/>
      </w:rPr>
    </w:lvl>
    <w:lvl w:ilvl="8" w:tplc="11C618C6" w:tentative="1">
      <w:start w:val="1"/>
      <w:numFmt w:val="bullet"/>
      <w:lvlText w:val=""/>
      <w:lvlJc w:val="left"/>
      <w:pPr>
        <w:ind w:left="6480" w:hanging="360"/>
      </w:pPr>
      <w:rPr>
        <w:rFonts w:ascii="Wingdings" w:hAnsi="Wingdings" w:hint="default"/>
      </w:rPr>
    </w:lvl>
  </w:abstractNum>
  <w:abstractNum w:abstractNumId="1" w15:restartNumberingAfterBreak="0">
    <w:nsid w:val="345C723D"/>
    <w:multiLevelType w:val="hybridMultilevel"/>
    <w:tmpl w:val="67E0980E"/>
    <w:lvl w:ilvl="0" w:tplc="0DF0FDA0">
      <w:numFmt w:val="bullet"/>
      <w:lvlText w:val=""/>
      <w:lvlJc w:val="left"/>
      <w:pPr>
        <w:ind w:left="720" w:hanging="360"/>
      </w:pPr>
      <w:rPr>
        <w:rFonts w:ascii="Symbol" w:eastAsia="Calibri" w:hAnsi="Symbol" w:cs="Times New Roman" w:hint="default"/>
      </w:rPr>
    </w:lvl>
    <w:lvl w:ilvl="1" w:tplc="79089A32" w:tentative="1">
      <w:start w:val="1"/>
      <w:numFmt w:val="bullet"/>
      <w:lvlText w:val="o"/>
      <w:lvlJc w:val="left"/>
      <w:pPr>
        <w:ind w:left="1440" w:hanging="360"/>
      </w:pPr>
      <w:rPr>
        <w:rFonts w:ascii="Courier New" w:hAnsi="Courier New" w:cs="Courier New" w:hint="default"/>
      </w:rPr>
    </w:lvl>
    <w:lvl w:ilvl="2" w:tplc="10061F5C" w:tentative="1">
      <w:start w:val="1"/>
      <w:numFmt w:val="bullet"/>
      <w:lvlText w:val=""/>
      <w:lvlJc w:val="left"/>
      <w:pPr>
        <w:ind w:left="2160" w:hanging="360"/>
      </w:pPr>
      <w:rPr>
        <w:rFonts w:ascii="Wingdings" w:hAnsi="Wingdings" w:hint="default"/>
      </w:rPr>
    </w:lvl>
    <w:lvl w:ilvl="3" w:tplc="7F24066E" w:tentative="1">
      <w:start w:val="1"/>
      <w:numFmt w:val="bullet"/>
      <w:lvlText w:val=""/>
      <w:lvlJc w:val="left"/>
      <w:pPr>
        <w:ind w:left="2880" w:hanging="360"/>
      </w:pPr>
      <w:rPr>
        <w:rFonts w:ascii="Symbol" w:hAnsi="Symbol" w:hint="default"/>
      </w:rPr>
    </w:lvl>
    <w:lvl w:ilvl="4" w:tplc="22687B78" w:tentative="1">
      <w:start w:val="1"/>
      <w:numFmt w:val="bullet"/>
      <w:lvlText w:val="o"/>
      <w:lvlJc w:val="left"/>
      <w:pPr>
        <w:ind w:left="3600" w:hanging="360"/>
      </w:pPr>
      <w:rPr>
        <w:rFonts w:ascii="Courier New" w:hAnsi="Courier New" w:cs="Courier New" w:hint="default"/>
      </w:rPr>
    </w:lvl>
    <w:lvl w:ilvl="5" w:tplc="39B43E62" w:tentative="1">
      <w:start w:val="1"/>
      <w:numFmt w:val="bullet"/>
      <w:lvlText w:val=""/>
      <w:lvlJc w:val="left"/>
      <w:pPr>
        <w:ind w:left="4320" w:hanging="360"/>
      </w:pPr>
      <w:rPr>
        <w:rFonts w:ascii="Wingdings" w:hAnsi="Wingdings" w:hint="default"/>
      </w:rPr>
    </w:lvl>
    <w:lvl w:ilvl="6" w:tplc="84B6D98E" w:tentative="1">
      <w:start w:val="1"/>
      <w:numFmt w:val="bullet"/>
      <w:lvlText w:val=""/>
      <w:lvlJc w:val="left"/>
      <w:pPr>
        <w:ind w:left="5040" w:hanging="360"/>
      </w:pPr>
      <w:rPr>
        <w:rFonts w:ascii="Symbol" w:hAnsi="Symbol" w:hint="default"/>
      </w:rPr>
    </w:lvl>
    <w:lvl w:ilvl="7" w:tplc="A5B49584" w:tentative="1">
      <w:start w:val="1"/>
      <w:numFmt w:val="bullet"/>
      <w:lvlText w:val="o"/>
      <w:lvlJc w:val="left"/>
      <w:pPr>
        <w:ind w:left="5760" w:hanging="360"/>
      </w:pPr>
      <w:rPr>
        <w:rFonts w:ascii="Courier New" w:hAnsi="Courier New" w:cs="Courier New" w:hint="default"/>
      </w:rPr>
    </w:lvl>
    <w:lvl w:ilvl="8" w:tplc="6FF0D566" w:tentative="1">
      <w:start w:val="1"/>
      <w:numFmt w:val="bullet"/>
      <w:lvlText w:val=""/>
      <w:lvlJc w:val="left"/>
      <w:pPr>
        <w:ind w:left="6480" w:hanging="360"/>
      </w:pPr>
      <w:rPr>
        <w:rFonts w:ascii="Wingdings" w:hAnsi="Wingdings" w:hint="default"/>
      </w:rPr>
    </w:lvl>
  </w:abstractNum>
  <w:abstractNum w:abstractNumId="2" w15:restartNumberingAfterBreak="0">
    <w:nsid w:val="410E67BF"/>
    <w:multiLevelType w:val="hybridMultilevel"/>
    <w:tmpl w:val="ABAC8E9C"/>
    <w:lvl w:ilvl="0" w:tplc="25327C22">
      <w:start w:val="1"/>
      <w:numFmt w:val="bullet"/>
      <w:lvlText w:val=""/>
      <w:lvlJc w:val="left"/>
      <w:pPr>
        <w:ind w:left="720" w:hanging="360"/>
      </w:pPr>
      <w:rPr>
        <w:rFonts w:ascii="Symbol" w:hAnsi="Symbol" w:hint="default"/>
      </w:rPr>
    </w:lvl>
    <w:lvl w:ilvl="1" w:tplc="B43624EC" w:tentative="1">
      <w:start w:val="1"/>
      <w:numFmt w:val="bullet"/>
      <w:lvlText w:val="o"/>
      <w:lvlJc w:val="left"/>
      <w:pPr>
        <w:ind w:left="1440" w:hanging="360"/>
      </w:pPr>
      <w:rPr>
        <w:rFonts w:ascii="Courier New" w:hAnsi="Courier New" w:cs="Courier New" w:hint="default"/>
      </w:rPr>
    </w:lvl>
    <w:lvl w:ilvl="2" w:tplc="EFA40D80" w:tentative="1">
      <w:start w:val="1"/>
      <w:numFmt w:val="bullet"/>
      <w:lvlText w:val=""/>
      <w:lvlJc w:val="left"/>
      <w:pPr>
        <w:ind w:left="2160" w:hanging="360"/>
      </w:pPr>
      <w:rPr>
        <w:rFonts w:ascii="Wingdings" w:hAnsi="Wingdings" w:hint="default"/>
      </w:rPr>
    </w:lvl>
    <w:lvl w:ilvl="3" w:tplc="23807272" w:tentative="1">
      <w:start w:val="1"/>
      <w:numFmt w:val="bullet"/>
      <w:lvlText w:val=""/>
      <w:lvlJc w:val="left"/>
      <w:pPr>
        <w:ind w:left="2880" w:hanging="360"/>
      </w:pPr>
      <w:rPr>
        <w:rFonts w:ascii="Symbol" w:hAnsi="Symbol" w:hint="default"/>
      </w:rPr>
    </w:lvl>
    <w:lvl w:ilvl="4" w:tplc="F190A210" w:tentative="1">
      <w:start w:val="1"/>
      <w:numFmt w:val="bullet"/>
      <w:lvlText w:val="o"/>
      <w:lvlJc w:val="left"/>
      <w:pPr>
        <w:ind w:left="3600" w:hanging="360"/>
      </w:pPr>
      <w:rPr>
        <w:rFonts w:ascii="Courier New" w:hAnsi="Courier New" w:cs="Courier New" w:hint="default"/>
      </w:rPr>
    </w:lvl>
    <w:lvl w:ilvl="5" w:tplc="BD887970" w:tentative="1">
      <w:start w:val="1"/>
      <w:numFmt w:val="bullet"/>
      <w:lvlText w:val=""/>
      <w:lvlJc w:val="left"/>
      <w:pPr>
        <w:ind w:left="4320" w:hanging="360"/>
      </w:pPr>
      <w:rPr>
        <w:rFonts w:ascii="Wingdings" w:hAnsi="Wingdings" w:hint="default"/>
      </w:rPr>
    </w:lvl>
    <w:lvl w:ilvl="6" w:tplc="245C2BDE" w:tentative="1">
      <w:start w:val="1"/>
      <w:numFmt w:val="bullet"/>
      <w:lvlText w:val=""/>
      <w:lvlJc w:val="left"/>
      <w:pPr>
        <w:ind w:left="5040" w:hanging="360"/>
      </w:pPr>
      <w:rPr>
        <w:rFonts w:ascii="Symbol" w:hAnsi="Symbol" w:hint="default"/>
      </w:rPr>
    </w:lvl>
    <w:lvl w:ilvl="7" w:tplc="574C79E6" w:tentative="1">
      <w:start w:val="1"/>
      <w:numFmt w:val="bullet"/>
      <w:lvlText w:val="o"/>
      <w:lvlJc w:val="left"/>
      <w:pPr>
        <w:ind w:left="5760" w:hanging="360"/>
      </w:pPr>
      <w:rPr>
        <w:rFonts w:ascii="Courier New" w:hAnsi="Courier New" w:cs="Courier New" w:hint="default"/>
      </w:rPr>
    </w:lvl>
    <w:lvl w:ilvl="8" w:tplc="D5B0778E" w:tentative="1">
      <w:start w:val="1"/>
      <w:numFmt w:val="bullet"/>
      <w:lvlText w:val=""/>
      <w:lvlJc w:val="left"/>
      <w:pPr>
        <w:ind w:left="6480" w:hanging="360"/>
      </w:pPr>
      <w:rPr>
        <w:rFonts w:ascii="Wingdings" w:hAnsi="Wingdings" w:hint="default"/>
      </w:rPr>
    </w:lvl>
  </w:abstractNum>
  <w:abstractNum w:abstractNumId="3" w15:restartNumberingAfterBreak="0">
    <w:nsid w:val="7EF37AB1"/>
    <w:multiLevelType w:val="hybridMultilevel"/>
    <w:tmpl w:val="54FE1268"/>
    <w:lvl w:ilvl="0" w:tplc="07FCC6B4">
      <w:start w:val="1"/>
      <w:numFmt w:val="bullet"/>
      <w:lvlText w:val=""/>
      <w:lvlJc w:val="left"/>
      <w:pPr>
        <w:ind w:left="720" w:hanging="360"/>
      </w:pPr>
      <w:rPr>
        <w:rFonts w:ascii="Symbol" w:hAnsi="Symbol" w:hint="default"/>
      </w:rPr>
    </w:lvl>
    <w:lvl w:ilvl="1" w:tplc="9DC06984" w:tentative="1">
      <w:start w:val="1"/>
      <w:numFmt w:val="bullet"/>
      <w:lvlText w:val="o"/>
      <w:lvlJc w:val="left"/>
      <w:pPr>
        <w:ind w:left="1440" w:hanging="360"/>
      </w:pPr>
      <w:rPr>
        <w:rFonts w:ascii="Courier New" w:hAnsi="Courier New" w:cs="Courier New" w:hint="default"/>
      </w:rPr>
    </w:lvl>
    <w:lvl w:ilvl="2" w:tplc="5778FB6A" w:tentative="1">
      <w:start w:val="1"/>
      <w:numFmt w:val="bullet"/>
      <w:lvlText w:val=""/>
      <w:lvlJc w:val="left"/>
      <w:pPr>
        <w:ind w:left="2160" w:hanging="360"/>
      </w:pPr>
      <w:rPr>
        <w:rFonts w:ascii="Wingdings" w:hAnsi="Wingdings" w:hint="default"/>
      </w:rPr>
    </w:lvl>
    <w:lvl w:ilvl="3" w:tplc="C30EAD1C" w:tentative="1">
      <w:start w:val="1"/>
      <w:numFmt w:val="bullet"/>
      <w:lvlText w:val=""/>
      <w:lvlJc w:val="left"/>
      <w:pPr>
        <w:ind w:left="2880" w:hanging="360"/>
      </w:pPr>
      <w:rPr>
        <w:rFonts w:ascii="Symbol" w:hAnsi="Symbol" w:hint="default"/>
      </w:rPr>
    </w:lvl>
    <w:lvl w:ilvl="4" w:tplc="BE02CB64" w:tentative="1">
      <w:start w:val="1"/>
      <w:numFmt w:val="bullet"/>
      <w:lvlText w:val="o"/>
      <w:lvlJc w:val="left"/>
      <w:pPr>
        <w:ind w:left="3600" w:hanging="360"/>
      </w:pPr>
      <w:rPr>
        <w:rFonts w:ascii="Courier New" w:hAnsi="Courier New" w:cs="Courier New" w:hint="default"/>
      </w:rPr>
    </w:lvl>
    <w:lvl w:ilvl="5" w:tplc="6470B62C" w:tentative="1">
      <w:start w:val="1"/>
      <w:numFmt w:val="bullet"/>
      <w:lvlText w:val=""/>
      <w:lvlJc w:val="left"/>
      <w:pPr>
        <w:ind w:left="4320" w:hanging="360"/>
      </w:pPr>
      <w:rPr>
        <w:rFonts w:ascii="Wingdings" w:hAnsi="Wingdings" w:hint="default"/>
      </w:rPr>
    </w:lvl>
    <w:lvl w:ilvl="6" w:tplc="55945FF8" w:tentative="1">
      <w:start w:val="1"/>
      <w:numFmt w:val="bullet"/>
      <w:lvlText w:val=""/>
      <w:lvlJc w:val="left"/>
      <w:pPr>
        <w:ind w:left="5040" w:hanging="360"/>
      </w:pPr>
      <w:rPr>
        <w:rFonts w:ascii="Symbol" w:hAnsi="Symbol" w:hint="default"/>
      </w:rPr>
    </w:lvl>
    <w:lvl w:ilvl="7" w:tplc="30F0CE18" w:tentative="1">
      <w:start w:val="1"/>
      <w:numFmt w:val="bullet"/>
      <w:lvlText w:val="o"/>
      <w:lvlJc w:val="left"/>
      <w:pPr>
        <w:ind w:left="5760" w:hanging="360"/>
      </w:pPr>
      <w:rPr>
        <w:rFonts w:ascii="Courier New" w:hAnsi="Courier New" w:cs="Courier New" w:hint="default"/>
      </w:rPr>
    </w:lvl>
    <w:lvl w:ilvl="8" w:tplc="F2567C44" w:tentative="1">
      <w:start w:val="1"/>
      <w:numFmt w:val="bullet"/>
      <w:lvlText w:val=""/>
      <w:lvlJc w:val="left"/>
      <w:pPr>
        <w:ind w:left="6480" w:hanging="360"/>
      </w:pPr>
      <w:rPr>
        <w:rFonts w:ascii="Wingdings" w:hAnsi="Wingdings" w:hint="default"/>
      </w:rPr>
    </w:lvl>
  </w:abstractNum>
  <w:num w:numId="1" w16cid:durableId="1954287641">
    <w:abstractNumId w:val="3"/>
  </w:num>
  <w:num w:numId="2" w16cid:durableId="817959148">
    <w:abstractNumId w:val="2"/>
  </w:num>
  <w:num w:numId="3" w16cid:durableId="2080514548">
    <w:abstractNumId w:val="0"/>
  </w:num>
  <w:num w:numId="4" w16cid:durableId="82844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91"/>
    <w:rsid w:val="000C03BA"/>
    <w:rsid w:val="000C1AFA"/>
    <w:rsid w:val="0020057A"/>
    <w:rsid w:val="00237C2E"/>
    <w:rsid w:val="00270B9F"/>
    <w:rsid w:val="0029019D"/>
    <w:rsid w:val="0041408B"/>
    <w:rsid w:val="005C2DC2"/>
    <w:rsid w:val="005E0391"/>
    <w:rsid w:val="005E3EB0"/>
    <w:rsid w:val="005E7CE2"/>
    <w:rsid w:val="0060580C"/>
    <w:rsid w:val="006753DF"/>
    <w:rsid w:val="0068013D"/>
    <w:rsid w:val="00686F1D"/>
    <w:rsid w:val="0069613F"/>
    <w:rsid w:val="007B0A44"/>
    <w:rsid w:val="008756B9"/>
    <w:rsid w:val="00957FF8"/>
    <w:rsid w:val="009756A2"/>
    <w:rsid w:val="009E21D7"/>
    <w:rsid w:val="00A40F98"/>
    <w:rsid w:val="00AF6177"/>
    <w:rsid w:val="00B75266"/>
    <w:rsid w:val="00CB0415"/>
    <w:rsid w:val="00CB41F1"/>
    <w:rsid w:val="00D1271E"/>
    <w:rsid w:val="00D27686"/>
    <w:rsid w:val="00D910C4"/>
    <w:rsid w:val="00D978F9"/>
    <w:rsid w:val="00E05414"/>
    <w:rsid w:val="00E558F5"/>
    <w:rsid w:val="00E94B70"/>
    <w:rsid w:val="00EC2CF3"/>
    <w:rsid w:val="00F1767E"/>
    <w:rsid w:val="00F4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68B"/>
  <w15:chartTrackingRefBased/>
  <w15:docId w15:val="{7373AC88-D95C-43CB-9640-0F1F49BB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91"/>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E039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391"/>
    <w:rPr>
      <w:rFonts w:ascii="Arial" w:eastAsia="Times New Roman" w:hAnsi="Arial" w:cs="Times New Roman"/>
      <w:b/>
      <w:sz w:val="24"/>
      <w:szCs w:val="20"/>
      <w:lang w:eastAsia="en-GB"/>
    </w:rPr>
  </w:style>
  <w:style w:type="character" w:styleId="Hyperlink">
    <w:name w:val="Hyperlink"/>
    <w:uiPriority w:val="99"/>
    <w:unhideWhenUsed/>
    <w:rsid w:val="005E0391"/>
    <w:rPr>
      <w:color w:val="0563C1"/>
      <w:u w:val="single"/>
    </w:rPr>
  </w:style>
  <w:style w:type="paragraph" w:styleId="ListParagraph">
    <w:name w:val="List Paragraph"/>
    <w:basedOn w:val="Normal"/>
    <w:uiPriority w:val="34"/>
    <w:qFormat/>
    <w:rsid w:val="005E0391"/>
    <w:pPr>
      <w:ind w:left="720"/>
    </w:pPr>
  </w:style>
  <w:style w:type="paragraph" w:styleId="Header">
    <w:name w:val="header"/>
    <w:basedOn w:val="Normal"/>
    <w:link w:val="HeaderChar"/>
    <w:uiPriority w:val="99"/>
    <w:unhideWhenUsed/>
    <w:rsid w:val="005E0391"/>
    <w:pPr>
      <w:tabs>
        <w:tab w:val="center" w:pos="4513"/>
        <w:tab w:val="right" w:pos="9026"/>
      </w:tabs>
    </w:pPr>
  </w:style>
  <w:style w:type="character" w:customStyle="1" w:styleId="HeaderChar">
    <w:name w:val="Header Char"/>
    <w:basedOn w:val="DefaultParagraphFont"/>
    <w:link w:val="Header"/>
    <w:uiPriority w:val="99"/>
    <w:rsid w:val="005E039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E0391"/>
    <w:pPr>
      <w:tabs>
        <w:tab w:val="center" w:pos="4513"/>
        <w:tab w:val="right" w:pos="9026"/>
      </w:tabs>
    </w:pPr>
  </w:style>
  <w:style w:type="character" w:customStyle="1" w:styleId="FooterChar">
    <w:name w:val="Footer Char"/>
    <w:basedOn w:val="DefaultParagraphFont"/>
    <w:link w:val="Footer"/>
    <w:uiPriority w:val="99"/>
    <w:rsid w:val="005E0391"/>
    <w:rPr>
      <w:rFonts w:ascii="Arial" w:eastAsia="Times New Roman" w:hAnsi="Arial" w:cs="Times New Roman"/>
      <w:sz w:val="24"/>
      <w:szCs w:val="20"/>
      <w:lang w:eastAsia="en-GB"/>
    </w:rPr>
  </w:style>
  <w:style w:type="paragraph" w:styleId="Revision">
    <w:name w:val="Revision"/>
    <w:hidden/>
    <w:uiPriority w:val="99"/>
    <w:semiHidden/>
    <w:rsid w:val="005E3EB0"/>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brindle@lancashirerenewabl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Milroy, Andy</cp:lastModifiedBy>
  <cp:revision>18</cp:revision>
  <dcterms:created xsi:type="dcterms:W3CDTF">2023-04-24T11:22:00Z</dcterms:created>
  <dcterms:modified xsi:type="dcterms:W3CDTF">2023-05-16T19:51:00Z</dcterms:modified>
</cp:coreProperties>
</file>